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D0FD" w14:textId="5723BCC6" w:rsidR="00B65A6F" w:rsidRDefault="009F3BBE" w:rsidP="00282D84">
      <w:pPr>
        <w:jc w:val="center"/>
      </w:pPr>
      <w:r>
        <w:t>Background and Guidance for Using the</w:t>
      </w:r>
      <w:r w:rsidR="00191C0F">
        <w:t xml:space="preserve"> </w:t>
      </w:r>
      <w:r w:rsidR="00B67F16">
        <w:t xml:space="preserve">NAACCR </w:t>
      </w:r>
      <w:r w:rsidR="009D10A4">
        <w:t xml:space="preserve">Virtual Pooled Registry </w:t>
      </w:r>
      <w:r w:rsidR="00191C0F">
        <w:t xml:space="preserve">Data Use Agreement </w:t>
      </w:r>
      <w:r w:rsidR="007F43B5">
        <w:t xml:space="preserve">(VPR </w:t>
      </w:r>
      <w:r w:rsidR="009D10A4">
        <w:t>DUA)</w:t>
      </w:r>
    </w:p>
    <w:p w14:paraId="67D12A23" w14:textId="03311F01" w:rsidR="00993830" w:rsidRDefault="00993830" w:rsidP="00282D84">
      <w:pPr>
        <w:jc w:val="center"/>
      </w:pPr>
      <w:r>
        <w:t>(</w:t>
      </w:r>
      <w:proofErr w:type="gramStart"/>
      <w:r w:rsidR="009F3BBE">
        <w:t>updated</w:t>
      </w:r>
      <w:proofErr w:type="gramEnd"/>
      <w:r w:rsidR="009F3BBE">
        <w:t xml:space="preserve"> </w:t>
      </w:r>
      <w:r w:rsidR="00AD6E98">
        <w:t>May 8</w:t>
      </w:r>
      <w:r w:rsidR="00182CA7">
        <w:t>, 2023</w:t>
      </w:r>
      <w:r>
        <w:t>)</w:t>
      </w:r>
    </w:p>
    <w:p w14:paraId="5BF73F87" w14:textId="77777777" w:rsidR="00492A3C" w:rsidRDefault="00492A3C"/>
    <w:p w14:paraId="374D0E5D" w14:textId="73DF8B5F" w:rsidR="00BF2CF6" w:rsidRPr="009F3BBE" w:rsidRDefault="00BF2CF6" w:rsidP="00813A49">
      <w:pPr>
        <w:pStyle w:val="ListParagraph"/>
        <w:numPr>
          <w:ilvl w:val="0"/>
          <w:numId w:val="1"/>
        </w:numPr>
        <w:jc w:val="both"/>
        <w:rPr>
          <w:b/>
          <w:bCs/>
        </w:rPr>
      </w:pPr>
      <w:r w:rsidRPr="009F3BBE">
        <w:rPr>
          <w:b/>
          <w:bCs/>
        </w:rPr>
        <w:t xml:space="preserve">Background and need for </w:t>
      </w:r>
      <w:r w:rsidR="00191C0F" w:rsidRPr="009F3BBE">
        <w:rPr>
          <w:b/>
          <w:bCs/>
        </w:rPr>
        <w:t>the NAACCR VPR</w:t>
      </w:r>
      <w:r w:rsidRPr="009F3BBE">
        <w:rPr>
          <w:b/>
          <w:bCs/>
        </w:rPr>
        <w:t xml:space="preserve"> DUA</w:t>
      </w:r>
      <w:r w:rsidR="00910E84" w:rsidRPr="009F3BBE">
        <w:rPr>
          <w:b/>
          <w:bCs/>
        </w:rPr>
        <w:t xml:space="preserve"> </w:t>
      </w:r>
    </w:p>
    <w:p w14:paraId="222CC3FA" w14:textId="1A13F6DD" w:rsidR="00597894" w:rsidRDefault="002E2538" w:rsidP="00813A49">
      <w:pPr>
        <w:pStyle w:val="ListParagraph"/>
        <w:jc w:val="both"/>
      </w:pPr>
      <w:proofErr w:type="gramStart"/>
      <w:r>
        <w:t>The majority of</w:t>
      </w:r>
      <w:proofErr w:type="gramEnd"/>
      <w:r>
        <w:t xml:space="preserve"> central cancer registries in the United States require that a data use agreement (DUA) be in place prior to releasing data to external parties.  </w:t>
      </w:r>
      <w:r w:rsidR="005E12C2">
        <w:t>Until now, e</w:t>
      </w:r>
      <w:r>
        <w:t>ach registry</w:t>
      </w:r>
      <w:r w:rsidR="005E12C2">
        <w:t xml:space="preserve"> had</w:t>
      </w:r>
      <w:r>
        <w:t xml:space="preserve"> a different DUA with varying terms and conditions </w:t>
      </w:r>
      <w:r w:rsidR="00182CA7">
        <w:t>requiring</w:t>
      </w:r>
      <w:r>
        <w:t xml:space="preserve"> legal review</w:t>
      </w:r>
      <w:r w:rsidR="00597894">
        <w:t xml:space="preserve">.  This review and negotiation process is time intensive and leads to significant delays in release of data for approved research studies.  In addition, the recipient of the cancer registry data must then remain in compliance with the varying requirements across the individual </w:t>
      </w:r>
      <w:r w:rsidR="00772A39">
        <w:t xml:space="preserve">registry </w:t>
      </w:r>
      <w:r w:rsidR="00597894">
        <w:t>DUAs.</w:t>
      </w:r>
    </w:p>
    <w:p w14:paraId="2A671E85" w14:textId="77777777" w:rsidR="00597894" w:rsidRDefault="00597894" w:rsidP="00813A49">
      <w:pPr>
        <w:pStyle w:val="ListParagraph"/>
        <w:jc w:val="both"/>
      </w:pPr>
    </w:p>
    <w:p w14:paraId="1FA2FEE8" w14:textId="7DD0BDC5" w:rsidR="002D575A" w:rsidRDefault="009134E1" w:rsidP="00813A49">
      <w:pPr>
        <w:pStyle w:val="ListParagraph"/>
        <w:jc w:val="both"/>
      </w:pPr>
      <w:r>
        <w:t xml:space="preserve">The NAACCR VPR DUA is a common </w:t>
      </w:r>
      <w:r w:rsidR="008662F0" w:rsidRPr="008662F0">
        <w:t xml:space="preserve">agreement designed to be used in lieu of the individual registry DUAs, thereby minimizing the number of separate DUAs and </w:t>
      </w:r>
      <w:r w:rsidR="000015CF">
        <w:t>ensu</w:t>
      </w:r>
      <w:r w:rsidR="00CD52D6">
        <w:t>r</w:t>
      </w:r>
      <w:r w:rsidR="000015CF">
        <w:t xml:space="preserve">ing consistency </w:t>
      </w:r>
      <w:r w:rsidR="002E1B32">
        <w:t xml:space="preserve">in </w:t>
      </w:r>
      <w:r>
        <w:t>the terms and conditions.  The</w:t>
      </w:r>
      <w:r w:rsidR="008662F0" w:rsidRPr="008662F0">
        <w:t xml:space="preserve"> VPR DUA was specifically developed for use with linkage studies facilitated by NAACCR’s Virtual Pooled Registry </w:t>
      </w:r>
      <w:r>
        <w:t xml:space="preserve">Cancer Linkage System (VPR-CLS).  This </w:t>
      </w:r>
      <w:r w:rsidR="008662F0" w:rsidRPr="008662F0">
        <w:t>online system</w:t>
      </w:r>
      <w:r>
        <w:t>,</w:t>
      </w:r>
      <w:r w:rsidR="008662F0" w:rsidRPr="008662F0">
        <w:t xml:space="preserve"> hosted by IMS, Inc.</w:t>
      </w:r>
      <w:r>
        <w:t>,</w:t>
      </w:r>
      <w:r w:rsidR="008662F0" w:rsidRPr="008662F0">
        <w:t xml:space="preserve"> </w:t>
      </w:r>
      <w:r>
        <w:t>streamlines the linkage, application, and data release process</w:t>
      </w:r>
      <w:r w:rsidR="008662F0" w:rsidRPr="008662F0">
        <w:t xml:space="preserve"> </w:t>
      </w:r>
      <w:proofErr w:type="gramStart"/>
      <w:r>
        <w:t>between  studies</w:t>
      </w:r>
      <w:proofErr w:type="gramEnd"/>
      <w:r>
        <w:t xml:space="preserve"> </w:t>
      </w:r>
      <w:r w:rsidR="00182CA7">
        <w:t xml:space="preserve">with an existing cohort </w:t>
      </w:r>
      <w:r>
        <w:t xml:space="preserve">and </w:t>
      </w:r>
      <w:r w:rsidR="008662F0" w:rsidRPr="008662F0">
        <w:t xml:space="preserve">U.S. cancer registries. </w:t>
      </w:r>
    </w:p>
    <w:p w14:paraId="75309B08" w14:textId="77777777" w:rsidR="000015CF" w:rsidRPr="002E2538" w:rsidRDefault="000015CF" w:rsidP="00813A49">
      <w:pPr>
        <w:pStyle w:val="ListParagraph"/>
        <w:jc w:val="both"/>
      </w:pPr>
    </w:p>
    <w:p w14:paraId="4B19D12A" w14:textId="6FD9731D" w:rsidR="00BF2CF6" w:rsidRPr="009F3BBE" w:rsidRDefault="00BF2CF6" w:rsidP="00813A49">
      <w:pPr>
        <w:pStyle w:val="ListParagraph"/>
        <w:numPr>
          <w:ilvl w:val="0"/>
          <w:numId w:val="1"/>
        </w:numPr>
        <w:jc w:val="both"/>
        <w:rPr>
          <w:b/>
          <w:bCs/>
        </w:rPr>
      </w:pPr>
      <w:r w:rsidRPr="009F3BBE">
        <w:rPr>
          <w:b/>
          <w:bCs/>
        </w:rPr>
        <w:t xml:space="preserve">Process for creating </w:t>
      </w:r>
      <w:r w:rsidR="00B32703" w:rsidRPr="009F3BBE">
        <w:rPr>
          <w:b/>
          <w:bCs/>
        </w:rPr>
        <w:t xml:space="preserve">the </w:t>
      </w:r>
      <w:r w:rsidR="00E0768A" w:rsidRPr="009F3BBE">
        <w:rPr>
          <w:b/>
          <w:bCs/>
        </w:rPr>
        <w:t xml:space="preserve">NAACCR </w:t>
      </w:r>
      <w:r w:rsidR="00ED2EF5" w:rsidRPr="009F3BBE">
        <w:rPr>
          <w:b/>
          <w:bCs/>
        </w:rPr>
        <w:t>VPR</w:t>
      </w:r>
      <w:r w:rsidRPr="009F3BBE">
        <w:rPr>
          <w:b/>
          <w:bCs/>
        </w:rPr>
        <w:t xml:space="preserve"> DUA</w:t>
      </w:r>
    </w:p>
    <w:p w14:paraId="46DCCA60" w14:textId="539FFF52" w:rsidR="008F610F" w:rsidRDefault="008F610F" w:rsidP="00813A49">
      <w:pPr>
        <w:pStyle w:val="ListParagraph"/>
        <w:jc w:val="both"/>
      </w:pPr>
      <w:r>
        <w:t xml:space="preserve">The </w:t>
      </w:r>
      <w:r w:rsidR="00191C0F">
        <w:t xml:space="preserve">VPR </w:t>
      </w:r>
      <w:r>
        <w:t xml:space="preserve">DUA </w:t>
      </w:r>
      <w:r w:rsidR="00191C0F">
        <w:t xml:space="preserve">was created by </w:t>
      </w:r>
      <w:r w:rsidR="00D50A44">
        <w:t>the NAACCR</w:t>
      </w:r>
      <w:r w:rsidR="00A62470">
        <w:t xml:space="preserve"> DUA Task Force</w:t>
      </w:r>
      <w:r w:rsidR="007B3017">
        <w:t>. This task force</w:t>
      </w:r>
      <w:r w:rsidR="00191C0F">
        <w:t xml:space="preserve"> </w:t>
      </w:r>
      <w:r w:rsidR="00506972">
        <w:t>included registry staff, legal and contract staff, researchers, and NAACCR</w:t>
      </w:r>
      <w:r w:rsidR="00772A39">
        <w:t xml:space="preserve"> and NCI</w:t>
      </w:r>
      <w:r w:rsidR="00506972">
        <w:t xml:space="preserve"> representatives.  </w:t>
      </w:r>
      <w:r w:rsidR="00191C0F">
        <w:t>T</w:t>
      </w:r>
      <w:r w:rsidR="00506972">
        <w:t>he Federal Demonstration Partnership Data Transf</w:t>
      </w:r>
      <w:r w:rsidR="00281DD2">
        <w:t>er and Use Agreement (FDP-DTUA)</w:t>
      </w:r>
      <w:r w:rsidR="00191C0F">
        <w:t xml:space="preserve"> served as the basis </w:t>
      </w:r>
      <w:r w:rsidR="00281DD2">
        <w:t xml:space="preserve">for creating the </w:t>
      </w:r>
      <w:r w:rsidR="00B32703">
        <w:t>VPR DUA</w:t>
      </w:r>
      <w:r w:rsidR="00886753">
        <w:t xml:space="preserve"> and was modified to address the needs of this project</w:t>
      </w:r>
      <w:r w:rsidR="00281DD2">
        <w:t xml:space="preserve">.  </w:t>
      </w:r>
      <w:r w:rsidR="00191C0F">
        <w:t xml:space="preserve">The VPR DUA was vetted </w:t>
      </w:r>
      <w:r w:rsidR="00281DD2">
        <w:t>with registries and their legal teams, as well as researchers and NCI’s Technology Transfer</w:t>
      </w:r>
      <w:r w:rsidR="00886753">
        <w:t xml:space="preserve"> Center</w:t>
      </w:r>
      <w:r w:rsidR="00281DD2">
        <w:t xml:space="preserve">. </w:t>
      </w:r>
      <w:r w:rsidR="00A05A1E">
        <w:t xml:space="preserve"> </w:t>
      </w:r>
      <w:r w:rsidR="000015CF">
        <w:t>This collaboration has resulted in a common DUA that reflects a widely accepted set of standard terms and conditions.</w:t>
      </w:r>
      <w:r w:rsidR="00772A39">
        <w:t xml:space="preserve">  </w:t>
      </w:r>
    </w:p>
    <w:p w14:paraId="14F687DA" w14:textId="77777777" w:rsidR="00191C0F" w:rsidRPr="008F610F" w:rsidRDefault="00191C0F" w:rsidP="00813A49">
      <w:pPr>
        <w:pStyle w:val="ListParagraph"/>
        <w:jc w:val="both"/>
      </w:pPr>
    </w:p>
    <w:p w14:paraId="57416A21" w14:textId="7BCD685E" w:rsidR="003228BB" w:rsidRPr="009F3BBE" w:rsidRDefault="009C06C1" w:rsidP="00813A49">
      <w:pPr>
        <w:pStyle w:val="ListParagraph"/>
        <w:numPr>
          <w:ilvl w:val="0"/>
          <w:numId w:val="1"/>
        </w:numPr>
        <w:jc w:val="both"/>
        <w:rPr>
          <w:b/>
          <w:bCs/>
        </w:rPr>
      </w:pPr>
      <w:r w:rsidRPr="009F3BBE">
        <w:rPr>
          <w:b/>
          <w:bCs/>
        </w:rPr>
        <w:t xml:space="preserve">Implementation and expectations for use of the </w:t>
      </w:r>
      <w:r w:rsidR="00993830" w:rsidRPr="009F3BBE">
        <w:rPr>
          <w:b/>
          <w:bCs/>
        </w:rPr>
        <w:t xml:space="preserve">NAACCR </w:t>
      </w:r>
      <w:r w:rsidR="00886753" w:rsidRPr="009F3BBE">
        <w:rPr>
          <w:b/>
          <w:bCs/>
        </w:rPr>
        <w:t>VPR DUA</w:t>
      </w:r>
    </w:p>
    <w:p w14:paraId="34C6CC34" w14:textId="2CB8C32D" w:rsidR="00FF0C8B" w:rsidRDefault="00AC3CB2" w:rsidP="00813A49">
      <w:pPr>
        <w:pStyle w:val="ListParagraph"/>
        <w:numPr>
          <w:ilvl w:val="1"/>
          <w:numId w:val="1"/>
        </w:numPr>
        <w:jc w:val="both"/>
      </w:pPr>
      <w:r w:rsidRPr="00CB47F9">
        <w:rPr>
          <w:b/>
        </w:rPr>
        <w:t>Intended Use</w:t>
      </w:r>
      <w:r w:rsidRPr="009F3BBE">
        <w:rPr>
          <w:b/>
        </w:rPr>
        <w:t>:</w:t>
      </w:r>
      <w:r>
        <w:t xml:space="preserve"> The VPR DUA is intended for use with linkage studies facilitated by the Virtual Pooled Registry Cancer Linkage System</w:t>
      </w:r>
      <w:r w:rsidR="00D035E8">
        <w:t xml:space="preserve"> (VPR-CLS)</w:t>
      </w:r>
      <w:r>
        <w:t xml:space="preserve">.  </w:t>
      </w:r>
      <w:r w:rsidR="000015CF">
        <w:t>T</w:t>
      </w:r>
      <w:r>
        <w:t xml:space="preserve">he VPR DUA covers release of registry data to researchers when individual-level data on </w:t>
      </w:r>
      <w:r w:rsidR="0067319F">
        <w:t xml:space="preserve">linked </w:t>
      </w:r>
      <w:r>
        <w:t>cases</w:t>
      </w:r>
      <w:r w:rsidR="00B955F4">
        <w:t xml:space="preserve"> are</w:t>
      </w:r>
      <w:r>
        <w:t xml:space="preserve"> requested. The VPR DUA </w:t>
      </w:r>
      <w:r w:rsidR="00B955F4">
        <w:t>is</w:t>
      </w:r>
      <w:r>
        <w:t xml:space="preserve"> used in lieu of individual registry agreements (DUAs, researcher agreements, confidentiality agreements, etc.).  </w:t>
      </w:r>
      <w:r w:rsidR="00B955F4" w:rsidRPr="00B955F4">
        <w:t xml:space="preserve">Registry use of the VPR DUA is voluntary, but strongly encouraged </w:t>
      </w:r>
      <w:proofErr w:type="gramStart"/>
      <w:r w:rsidR="00B955F4" w:rsidRPr="00B955F4">
        <w:t>as a way to</w:t>
      </w:r>
      <w:proofErr w:type="gramEnd"/>
      <w:r w:rsidR="00B955F4" w:rsidRPr="00B955F4">
        <w:t xml:space="preserve"> minimize the number of different agreements across registries. </w:t>
      </w:r>
    </w:p>
    <w:p w14:paraId="6BE349E5" w14:textId="77777777" w:rsidR="00FF0C8B" w:rsidRDefault="00FF0C8B" w:rsidP="00813A49">
      <w:pPr>
        <w:pStyle w:val="ListParagraph"/>
        <w:ind w:left="1440"/>
        <w:jc w:val="both"/>
        <w:rPr>
          <w:b/>
        </w:rPr>
      </w:pPr>
    </w:p>
    <w:p w14:paraId="1E889AE1" w14:textId="4994C8AC" w:rsidR="00A11157" w:rsidRPr="00A11157" w:rsidRDefault="00A11157" w:rsidP="00813A49">
      <w:pPr>
        <w:pStyle w:val="ListParagraph"/>
        <w:ind w:left="1440"/>
        <w:jc w:val="both"/>
      </w:pPr>
      <w:r>
        <w:t>Expectations for VPR DUA use by participating registries and researchers are as follows:</w:t>
      </w:r>
    </w:p>
    <w:p w14:paraId="01B73331" w14:textId="5D4CD1E6" w:rsidR="008F2121" w:rsidRDefault="00A11157" w:rsidP="00813A49">
      <w:pPr>
        <w:pStyle w:val="ListParagraph"/>
        <w:numPr>
          <w:ilvl w:val="0"/>
          <w:numId w:val="7"/>
        </w:numPr>
        <w:jc w:val="both"/>
      </w:pPr>
      <w:r w:rsidRPr="00A11157">
        <w:rPr>
          <w:u w:val="single"/>
        </w:rPr>
        <w:t>For VPR Registries:</w:t>
      </w:r>
      <w:r>
        <w:t xml:space="preserve"> </w:t>
      </w:r>
      <w:r w:rsidR="00417557">
        <w:t>Registries wishing</w:t>
      </w:r>
      <w:r w:rsidR="00D035E8">
        <w:t xml:space="preserve"> to adopt the VPR DUA </w:t>
      </w:r>
      <w:r w:rsidR="00417557">
        <w:t xml:space="preserve">will afford their legal </w:t>
      </w:r>
      <w:r>
        <w:t>counsel</w:t>
      </w:r>
      <w:r w:rsidR="008F2121">
        <w:t>, as necessary,</w:t>
      </w:r>
      <w:r w:rsidR="00417557">
        <w:t xml:space="preserve"> the opportunity to review the </w:t>
      </w:r>
      <w:r w:rsidR="00381B08">
        <w:t>t</w:t>
      </w:r>
      <w:r w:rsidR="00417557">
        <w:t xml:space="preserve">erms and </w:t>
      </w:r>
      <w:r w:rsidR="00813A49">
        <w:t>c</w:t>
      </w:r>
      <w:r w:rsidR="00417557">
        <w:t>onditions and approve</w:t>
      </w:r>
      <w:r w:rsidR="00D035E8" w:rsidRPr="00D035E8">
        <w:t xml:space="preserve"> use of the VPR DUA for all linkage studies facilitated by the VPR-CLS.</w:t>
      </w:r>
      <w:r w:rsidR="00D035E8">
        <w:t xml:space="preserve"> </w:t>
      </w:r>
      <w:r w:rsidR="008F2121">
        <w:t xml:space="preserve"> </w:t>
      </w:r>
      <w:proofErr w:type="gramStart"/>
      <w:r w:rsidR="008F2121">
        <w:t>In order to</w:t>
      </w:r>
      <w:proofErr w:type="gramEnd"/>
      <w:r w:rsidR="008F2121">
        <w:t xml:space="preserve"> be adopted, registries and their legal </w:t>
      </w:r>
      <w:r>
        <w:t>counsel</w:t>
      </w:r>
      <w:r w:rsidR="008F2121">
        <w:t xml:space="preserve"> must agree to use the VPR DUA “as is” without the need for state-specific changes. </w:t>
      </w:r>
      <w:r w:rsidR="00417557">
        <w:t xml:space="preserve"> </w:t>
      </w:r>
      <w:r w:rsidR="00891641">
        <w:t xml:space="preserve">The aim is for registries and their legal offices to review and approve the terms and conditions once and </w:t>
      </w:r>
      <w:r w:rsidR="00891641">
        <w:lastRenderedPageBreak/>
        <w:t xml:space="preserve">then proceed with a final review and signature whenever a completed DUA is submitted for any VPR-facilitated study.  </w:t>
      </w:r>
    </w:p>
    <w:p w14:paraId="117C9F9A" w14:textId="77777777" w:rsidR="008F2121" w:rsidRDefault="008F2121" w:rsidP="00813A49">
      <w:pPr>
        <w:pStyle w:val="ListParagraph"/>
        <w:ind w:left="1440"/>
        <w:jc w:val="both"/>
      </w:pPr>
    </w:p>
    <w:p w14:paraId="5FE08084" w14:textId="31A8ED92" w:rsidR="00AC3CB2" w:rsidRPr="00297BE7" w:rsidRDefault="00A11157" w:rsidP="00813A49">
      <w:pPr>
        <w:pStyle w:val="ListParagraph"/>
        <w:numPr>
          <w:ilvl w:val="0"/>
          <w:numId w:val="7"/>
        </w:numPr>
        <w:jc w:val="both"/>
      </w:pPr>
      <w:r w:rsidRPr="00A11157">
        <w:rPr>
          <w:u w:val="single"/>
        </w:rPr>
        <w:t>For VPR Researchers:</w:t>
      </w:r>
      <w:r>
        <w:t xml:space="preserve"> </w:t>
      </w:r>
      <w:r w:rsidR="001B60CC">
        <w:t>R</w:t>
      </w:r>
      <w:r w:rsidR="00AC3CB2">
        <w:t>esearch institution</w:t>
      </w:r>
      <w:r w:rsidR="001B60CC">
        <w:t>s</w:t>
      </w:r>
      <w:r w:rsidR="00AC3CB2">
        <w:t xml:space="preserve"> </w:t>
      </w:r>
      <w:r w:rsidR="008F2121">
        <w:t xml:space="preserve">are </w:t>
      </w:r>
      <w:r w:rsidR="00182CA7">
        <w:t xml:space="preserve">strongly </w:t>
      </w:r>
      <w:r w:rsidR="008F2121">
        <w:t>discourage</w:t>
      </w:r>
      <w:r>
        <w:t>d</w:t>
      </w:r>
      <w:r w:rsidR="008F2121">
        <w:t xml:space="preserve"> from proposing changes to the </w:t>
      </w:r>
      <w:r w:rsidR="00381B08">
        <w:t>t</w:t>
      </w:r>
      <w:r w:rsidR="008F2121">
        <w:t xml:space="preserve">erms and </w:t>
      </w:r>
      <w:r w:rsidR="00381B08">
        <w:t>c</w:t>
      </w:r>
      <w:r w:rsidR="008F2121">
        <w:t xml:space="preserve">onditions for their individual </w:t>
      </w:r>
      <w:r w:rsidR="0067319F">
        <w:t>p</w:t>
      </w:r>
      <w:r w:rsidR="008F2121">
        <w:t>roject</w:t>
      </w:r>
      <w:r>
        <w:t>.  Any suc</w:t>
      </w:r>
      <w:r w:rsidRPr="00A11157">
        <w:t xml:space="preserve">h changes </w:t>
      </w:r>
      <w:r>
        <w:t xml:space="preserve">will necessitate </w:t>
      </w:r>
      <w:r w:rsidRPr="00A11157">
        <w:t>additional review by and/or negotiation with legal counsel</w:t>
      </w:r>
      <w:r>
        <w:t xml:space="preserve"> from every registry that has adopted the VPR DUA, thereby slowing down finalization of the DUA</w:t>
      </w:r>
      <w:r w:rsidR="00891641">
        <w:t xml:space="preserve"> or causing the registry to </w:t>
      </w:r>
      <w:proofErr w:type="gramStart"/>
      <w:r w:rsidR="00891641">
        <w:t>revert back</w:t>
      </w:r>
      <w:proofErr w:type="gramEnd"/>
      <w:r w:rsidR="00891641">
        <w:t xml:space="preserve"> to their individual registry agreement</w:t>
      </w:r>
      <w:r w:rsidRPr="00A11157">
        <w:t>.</w:t>
      </w:r>
      <w:r>
        <w:t xml:space="preserve"> </w:t>
      </w:r>
    </w:p>
    <w:p w14:paraId="6B38FC0D" w14:textId="77777777" w:rsidR="00297BE7" w:rsidRDefault="00297BE7" w:rsidP="00813A49">
      <w:pPr>
        <w:pStyle w:val="ListParagraph"/>
        <w:jc w:val="both"/>
      </w:pPr>
    </w:p>
    <w:p w14:paraId="63E08777" w14:textId="2949E392" w:rsidR="009C06C1" w:rsidRDefault="00993830" w:rsidP="00813A49">
      <w:pPr>
        <w:pStyle w:val="ListParagraph"/>
        <w:numPr>
          <w:ilvl w:val="1"/>
          <w:numId w:val="1"/>
        </w:numPr>
        <w:jc w:val="both"/>
      </w:pPr>
      <w:r w:rsidRPr="00993830">
        <w:rPr>
          <w:b/>
        </w:rPr>
        <w:t>Other Use:</w:t>
      </w:r>
      <w:r>
        <w:t xml:space="preserve"> </w:t>
      </w:r>
      <w:r w:rsidR="009C06C1">
        <w:t xml:space="preserve">Registries </w:t>
      </w:r>
      <w:r w:rsidR="00297BE7">
        <w:t xml:space="preserve">wishing to use the </w:t>
      </w:r>
      <w:r w:rsidR="00B32703">
        <w:t>VPR DUA</w:t>
      </w:r>
      <w:r w:rsidR="009C06C1">
        <w:t xml:space="preserve"> </w:t>
      </w:r>
      <w:r w:rsidR="009E401A">
        <w:t xml:space="preserve">language </w:t>
      </w:r>
      <w:r w:rsidR="009C06C1">
        <w:t>for studies</w:t>
      </w:r>
      <w:r w:rsidR="009E401A">
        <w:t xml:space="preserve"> other than linkage studies facilitated by the </w:t>
      </w:r>
      <w:r w:rsidR="0067319F">
        <w:t xml:space="preserve">VPR-CLS </w:t>
      </w:r>
      <w:r>
        <w:t xml:space="preserve">may do so only after </w:t>
      </w:r>
      <w:r w:rsidR="009C06C1">
        <w:t>removing the Preamble and all reference to “NAACCR</w:t>
      </w:r>
      <w:r>
        <w:t xml:space="preserve"> VPR DUA</w:t>
      </w:r>
      <w:r w:rsidR="009C06C1">
        <w:t>”</w:t>
      </w:r>
      <w:r w:rsidR="000015CF">
        <w:t xml:space="preserve"> so </w:t>
      </w:r>
      <w:proofErr w:type="gramStart"/>
      <w:r w:rsidR="000015CF">
        <w:t>it is clear that the</w:t>
      </w:r>
      <w:proofErr w:type="gramEnd"/>
      <w:r w:rsidR="000015CF">
        <w:t xml:space="preserve"> VPR DUA standard template language was altered</w:t>
      </w:r>
      <w:r w:rsidR="009C06C1">
        <w:t xml:space="preserve">.  If </w:t>
      </w:r>
      <w:r>
        <w:t>modifying the VPR DUA</w:t>
      </w:r>
      <w:r w:rsidR="009C06C1">
        <w:t xml:space="preserve">, </w:t>
      </w:r>
      <w:r w:rsidR="000015CF">
        <w:t xml:space="preserve">it is important to note that </w:t>
      </w:r>
      <w:r w:rsidR="009C06C1">
        <w:t xml:space="preserve">the current version </w:t>
      </w:r>
      <w:r w:rsidR="000015CF">
        <w:t>was designed</w:t>
      </w:r>
      <w:r w:rsidR="009C06C1">
        <w:t xml:space="preserve"> for studies where </w:t>
      </w:r>
      <w:r w:rsidR="00EB5EA2">
        <w:t>u</w:t>
      </w:r>
      <w:r w:rsidR="009C06C1">
        <w:t xml:space="preserve">nique IDs and complete dates are the only identifiable data </w:t>
      </w:r>
      <w:r w:rsidR="0067319F">
        <w:t>released by the cancer registry</w:t>
      </w:r>
      <w:r w:rsidR="009C06C1">
        <w:t xml:space="preserve">.  Other </w:t>
      </w:r>
      <w:r>
        <w:t xml:space="preserve">types of </w:t>
      </w:r>
      <w:r w:rsidR="009C06C1">
        <w:t xml:space="preserve">studies may require modification of the </w:t>
      </w:r>
      <w:r w:rsidR="0067319F">
        <w:t xml:space="preserve">VPR </w:t>
      </w:r>
      <w:r w:rsidR="009C06C1">
        <w:t xml:space="preserve">DUA to enforce stricter requirements, based upon the nature of the data </w:t>
      </w:r>
      <w:r w:rsidR="0067319F">
        <w:t>released</w:t>
      </w:r>
      <w:r w:rsidR="009C06C1">
        <w:t>.</w:t>
      </w:r>
    </w:p>
    <w:p w14:paraId="3C88A169" w14:textId="77777777" w:rsidR="00993830" w:rsidRDefault="00993830" w:rsidP="00813A49">
      <w:pPr>
        <w:pStyle w:val="ListParagraph"/>
        <w:ind w:left="1440"/>
        <w:jc w:val="both"/>
      </w:pPr>
    </w:p>
    <w:p w14:paraId="7A376DDE" w14:textId="38AEC318" w:rsidR="00606AFA" w:rsidRDefault="00993830" w:rsidP="00813A49">
      <w:pPr>
        <w:pStyle w:val="ListParagraph"/>
        <w:numPr>
          <w:ilvl w:val="1"/>
          <w:numId w:val="1"/>
        </w:numPr>
        <w:jc w:val="both"/>
      </w:pPr>
      <w:r w:rsidRPr="00993830">
        <w:rPr>
          <w:b/>
        </w:rPr>
        <w:t>Revisions to VPR DUA:</w:t>
      </w:r>
      <w:r>
        <w:t xml:space="preserve"> </w:t>
      </w:r>
      <w:r w:rsidR="00886753">
        <w:t xml:space="preserve">NAACCR recognizes the dynamic regulatory and scientific environment concerning the </w:t>
      </w:r>
      <w:r>
        <w:t>content</w:t>
      </w:r>
      <w:r w:rsidR="00886753">
        <w:t xml:space="preserve"> addressed </w:t>
      </w:r>
      <w:r>
        <w:t>in</w:t>
      </w:r>
      <w:r w:rsidR="00886753">
        <w:t xml:space="preserve"> the VPR DUA.</w:t>
      </w:r>
      <w:r>
        <w:t xml:space="preserve">  As such, revisions to the VPR DUA will be considered as needed.</w:t>
      </w:r>
      <w:r w:rsidR="00886753">
        <w:t xml:space="preserve">  </w:t>
      </w:r>
      <w:r w:rsidR="00886753" w:rsidRPr="00886753">
        <w:t>Registries are encouraged to submit requested changes for future version of the VPR DUA to the VPR-CLS Manager</w:t>
      </w:r>
      <w:r w:rsidR="001903FA">
        <w:t xml:space="preserve"> at NAACCR</w:t>
      </w:r>
      <w:r w:rsidR="00886753">
        <w:t xml:space="preserve">. </w:t>
      </w:r>
      <w:r w:rsidR="00886753" w:rsidRPr="00886753">
        <w:t xml:space="preserve"> </w:t>
      </w:r>
      <w:r w:rsidR="00886753">
        <w:t xml:space="preserve">If needed, NAACCR will reassemble a committee to address substantive and material changes to </w:t>
      </w:r>
      <w:r w:rsidR="00EA76C3">
        <w:t>maximize the</w:t>
      </w:r>
      <w:r w:rsidR="00886753">
        <w:t xml:space="preserve"> utility of th</w:t>
      </w:r>
      <w:r w:rsidR="000C66B4">
        <w:t>e VPR</w:t>
      </w:r>
      <w:r w:rsidR="00886753">
        <w:t xml:space="preserve"> DUA.</w:t>
      </w:r>
      <w:r w:rsidR="00606AFA" w:rsidRPr="00606AFA">
        <w:t xml:space="preserve"> </w:t>
      </w:r>
    </w:p>
    <w:p w14:paraId="3B7EC75F" w14:textId="77777777" w:rsidR="00606AFA" w:rsidRDefault="00606AFA" w:rsidP="009F3BBE">
      <w:pPr>
        <w:pStyle w:val="ListParagraph"/>
      </w:pPr>
    </w:p>
    <w:p w14:paraId="609B132E" w14:textId="5F1B07A6" w:rsidR="00886753" w:rsidRDefault="00606AFA" w:rsidP="009F3BBE">
      <w:pPr>
        <w:pStyle w:val="ListParagraph"/>
        <w:ind w:left="1440"/>
        <w:jc w:val="both"/>
      </w:pPr>
      <w:r w:rsidRPr="00606AFA">
        <w:t xml:space="preserve">The first version of the VPR Templated DUA was released for use in April 2021.  Minor modifications were made with Version 2 (5/26/21) and Version 3 (9/9/22).  Version 4 is the latest version which </w:t>
      </w:r>
      <w:r>
        <w:t>included significant updates</w:t>
      </w:r>
      <w:r w:rsidRPr="00606AFA">
        <w:t xml:space="preserve"> to address the NIH Data Management and Sharing Policy requirement related to secondary data sharing of registry data items from the primary recipient (Researcher) to a secondary recipient institution or data repository.</w:t>
      </w:r>
    </w:p>
    <w:p w14:paraId="1F4C9833" w14:textId="77777777" w:rsidR="00E0768A" w:rsidRDefault="00E0768A" w:rsidP="00813A49">
      <w:pPr>
        <w:pStyle w:val="ListParagraph"/>
        <w:ind w:left="1440"/>
        <w:jc w:val="both"/>
      </w:pPr>
    </w:p>
    <w:p w14:paraId="033494CF" w14:textId="1D15C610" w:rsidR="001903FA" w:rsidRDefault="001903FA" w:rsidP="00813A49">
      <w:pPr>
        <w:pStyle w:val="ListParagraph"/>
        <w:numPr>
          <w:ilvl w:val="0"/>
          <w:numId w:val="1"/>
        </w:numPr>
        <w:jc w:val="both"/>
      </w:pPr>
      <w:r w:rsidRPr="009F3BBE">
        <w:rPr>
          <w:b/>
          <w:bCs/>
        </w:rPr>
        <w:t>Basic steps for processing the VPR DUA:</w:t>
      </w:r>
      <w:r>
        <w:t xml:space="preserve"> Currently, the VPR DUA is submitted via email to the registry contacts listed in the VPR-CLS.  The steps in the process are as follows:</w:t>
      </w:r>
    </w:p>
    <w:p w14:paraId="7B8EC715" w14:textId="6BF44DA5" w:rsidR="00CB47F9" w:rsidRDefault="00CB47F9" w:rsidP="009F3BBE">
      <w:pPr>
        <w:pStyle w:val="ListParagraph"/>
        <w:numPr>
          <w:ilvl w:val="1"/>
          <w:numId w:val="8"/>
        </w:numPr>
        <w:jc w:val="both"/>
      </w:pPr>
      <w:bookmarkStart w:id="0" w:name="_Hlk125205625"/>
      <w:r>
        <w:t xml:space="preserve">Researcher legal office reviews the VPR DUA terms and conditions </w:t>
      </w:r>
      <w:r w:rsidR="004B1460">
        <w:t xml:space="preserve">to assess their </w:t>
      </w:r>
      <w:r>
        <w:t xml:space="preserve">ability to </w:t>
      </w:r>
      <w:r w:rsidR="004B1460">
        <w:t>adopt “as is”</w:t>
      </w:r>
      <w:r>
        <w:t>.</w:t>
      </w:r>
      <w:r w:rsidR="004B1460">
        <w:t xml:space="preserve">  </w:t>
      </w:r>
      <w:r w:rsidR="00665AC3">
        <w:t xml:space="preserve">Research institutions are strongly discouraged from proposing changes to the terms and conditions for their individual project.  </w:t>
      </w:r>
      <w:r w:rsidR="004B1460">
        <w:t xml:space="preserve">If </w:t>
      </w:r>
      <w:r w:rsidR="00BC6547">
        <w:t>the terms and conditions</w:t>
      </w:r>
      <w:r w:rsidR="004B1460">
        <w:t xml:space="preserve"> are not acceptable, the </w:t>
      </w:r>
      <w:r w:rsidR="00BC6547">
        <w:t xml:space="preserve">modified VPR DUA </w:t>
      </w:r>
      <w:r w:rsidR="00665AC3">
        <w:t xml:space="preserve">will require </w:t>
      </w:r>
      <w:r w:rsidR="00665AC3" w:rsidRPr="00A11157">
        <w:t xml:space="preserve">additional review </w:t>
      </w:r>
      <w:r w:rsidR="00665AC3">
        <w:t xml:space="preserve">and </w:t>
      </w:r>
      <w:r w:rsidR="00665AC3" w:rsidRPr="00A11157">
        <w:t>negotiation with legal counsel</w:t>
      </w:r>
      <w:r w:rsidR="00665AC3">
        <w:t xml:space="preserve"> from every registry that has adopted the VPR DUA, thereby slowing down finalization of the DUA</w:t>
      </w:r>
      <w:r w:rsidR="00606AFA" w:rsidRPr="00606AFA">
        <w:t xml:space="preserve"> </w:t>
      </w:r>
      <w:r w:rsidR="00606AFA">
        <w:t xml:space="preserve">or causing the registry to </w:t>
      </w:r>
      <w:proofErr w:type="gramStart"/>
      <w:r w:rsidR="00606AFA">
        <w:t>revert back</w:t>
      </w:r>
      <w:proofErr w:type="gramEnd"/>
      <w:r w:rsidR="00606AFA">
        <w:t xml:space="preserve"> to their individual registry agreement</w:t>
      </w:r>
      <w:r w:rsidR="00665AC3" w:rsidRPr="00A11157">
        <w:t>.</w:t>
      </w:r>
      <w:r w:rsidR="00BC6547">
        <w:t xml:space="preserve"> </w:t>
      </w:r>
      <w:r w:rsidR="004B1460">
        <w:t xml:space="preserve"> </w:t>
      </w:r>
      <w:r w:rsidR="00BC6547" w:rsidRPr="009F3BBE">
        <w:rPr>
          <w:b/>
          <w:bCs/>
        </w:rPr>
        <w:t>Note: This step can occur after the second step if appropriate for the organization</w:t>
      </w:r>
      <w:r w:rsidR="00BC6547">
        <w:rPr>
          <w:b/>
          <w:bCs/>
        </w:rPr>
        <w:t>’</w:t>
      </w:r>
      <w:r w:rsidR="00BC6547" w:rsidRPr="009F3BBE">
        <w:rPr>
          <w:b/>
          <w:bCs/>
        </w:rPr>
        <w:t>s process.</w:t>
      </w:r>
    </w:p>
    <w:p w14:paraId="2EF295C4" w14:textId="237F4D62" w:rsidR="004B1460" w:rsidRDefault="001903FA" w:rsidP="009F3BBE">
      <w:pPr>
        <w:pStyle w:val="ListParagraph"/>
        <w:numPr>
          <w:ilvl w:val="1"/>
          <w:numId w:val="8"/>
        </w:numPr>
        <w:jc w:val="both"/>
      </w:pPr>
      <w:r>
        <w:lastRenderedPageBreak/>
        <w:t>Researcher fills in the Recipient section</w:t>
      </w:r>
      <w:r w:rsidR="00BC6547">
        <w:t>s and of the VPR DUA, including the programmatic content in A</w:t>
      </w:r>
      <w:r w:rsidR="00606AFA">
        <w:t>ttachment</w:t>
      </w:r>
      <w:r w:rsidR="00BC6547">
        <w:t xml:space="preserve"> 1</w:t>
      </w:r>
      <w:r w:rsidR="004B1460">
        <w:t>.</w:t>
      </w:r>
    </w:p>
    <w:p w14:paraId="56BDE0CC" w14:textId="47B6B4CD" w:rsidR="001903FA" w:rsidRDefault="004B1460" w:rsidP="009F3BBE">
      <w:pPr>
        <w:pStyle w:val="ListParagraph"/>
        <w:numPr>
          <w:ilvl w:val="1"/>
          <w:numId w:val="8"/>
        </w:numPr>
        <w:jc w:val="both"/>
      </w:pPr>
      <w:r>
        <w:t>Researcher</w:t>
      </w:r>
      <w:r w:rsidR="001903FA">
        <w:t xml:space="preserve"> </w:t>
      </w:r>
      <w:r w:rsidR="001953D5">
        <w:t xml:space="preserve">emails </w:t>
      </w:r>
      <w:r w:rsidR="001903FA">
        <w:t xml:space="preserve">an </w:t>
      </w:r>
      <w:r w:rsidR="001903FA" w:rsidRPr="009F3BBE">
        <w:rPr>
          <w:b/>
          <w:bCs/>
          <w:u w:val="single"/>
        </w:rPr>
        <w:t>unsigned</w:t>
      </w:r>
      <w:r w:rsidR="001903FA">
        <w:t xml:space="preserve"> </w:t>
      </w:r>
      <w:r w:rsidR="00CB47F9">
        <w:t>VPR DUA</w:t>
      </w:r>
      <w:r w:rsidR="001903FA">
        <w:t xml:space="preserve"> to registr</w:t>
      </w:r>
      <w:r w:rsidR="001953D5">
        <w:t>y contact listed in the VPR-CLS</w:t>
      </w:r>
      <w:r w:rsidR="00CB47F9">
        <w:t>.</w:t>
      </w:r>
    </w:p>
    <w:p w14:paraId="657B3B16" w14:textId="52CBF993" w:rsidR="001903FA" w:rsidRDefault="001903FA" w:rsidP="009F3BBE">
      <w:pPr>
        <w:pStyle w:val="ListParagraph"/>
        <w:numPr>
          <w:ilvl w:val="1"/>
          <w:numId w:val="8"/>
        </w:numPr>
        <w:jc w:val="both"/>
      </w:pPr>
      <w:r>
        <w:t>Registry fills in the Provider section</w:t>
      </w:r>
      <w:r w:rsidR="00BC6547">
        <w:t>s</w:t>
      </w:r>
      <w:r>
        <w:t xml:space="preserve"> and returns</w:t>
      </w:r>
      <w:r w:rsidR="00CB47F9">
        <w:t xml:space="preserve"> VPR DUA </w:t>
      </w:r>
      <w:r>
        <w:t>to the Researche</w:t>
      </w:r>
      <w:r w:rsidR="00606AFA">
        <w:t>r, along with any questions regarding the programmatic sections completed by the Researcher.</w:t>
      </w:r>
    </w:p>
    <w:p w14:paraId="083492B4" w14:textId="76325DBB" w:rsidR="00606AFA" w:rsidRDefault="00CB47F9">
      <w:pPr>
        <w:pStyle w:val="ListParagraph"/>
        <w:numPr>
          <w:ilvl w:val="1"/>
          <w:numId w:val="8"/>
        </w:numPr>
        <w:jc w:val="both"/>
      </w:pPr>
      <w:r>
        <w:t>Researcher organization and study Principal Investigator</w:t>
      </w:r>
      <w:r w:rsidR="00606AFA">
        <w:t xml:space="preserve"> review the agreement, address Registry concerns (if needed), and pose any questions about the Registry programmatic content (if needed).  </w:t>
      </w:r>
    </w:p>
    <w:p w14:paraId="50702168" w14:textId="0542CD44" w:rsidR="001903FA" w:rsidRDefault="00606AFA" w:rsidP="009F3BBE">
      <w:pPr>
        <w:pStyle w:val="ListParagraph"/>
        <w:numPr>
          <w:ilvl w:val="1"/>
          <w:numId w:val="8"/>
        </w:numPr>
        <w:jc w:val="both"/>
      </w:pPr>
      <w:r>
        <w:t xml:space="preserve">When all programmatic concerns are addressed, the Researcher </w:t>
      </w:r>
      <w:r w:rsidR="00CB47F9">
        <w:t>sign</w:t>
      </w:r>
      <w:r>
        <w:t>s</w:t>
      </w:r>
      <w:r w:rsidR="00CB47F9">
        <w:t xml:space="preserve"> the </w:t>
      </w:r>
      <w:r w:rsidR="00031EBE">
        <w:t xml:space="preserve">completed </w:t>
      </w:r>
      <w:r w:rsidR="00CB47F9">
        <w:t xml:space="preserve">agreement and </w:t>
      </w:r>
      <w:proofErr w:type="gramStart"/>
      <w:r w:rsidR="00CB47F9">
        <w:t>return</w:t>
      </w:r>
      <w:r>
        <w:t>s</w:t>
      </w:r>
      <w:proofErr w:type="gramEnd"/>
      <w:r w:rsidR="00CB47F9">
        <w:t xml:space="preserve"> to the Registry.</w:t>
      </w:r>
    </w:p>
    <w:p w14:paraId="400B3C19" w14:textId="25685161" w:rsidR="00CB47F9" w:rsidRDefault="00CB47F9" w:rsidP="009F3BBE">
      <w:pPr>
        <w:pStyle w:val="ListParagraph"/>
        <w:numPr>
          <w:ilvl w:val="1"/>
          <w:numId w:val="8"/>
        </w:numPr>
        <w:jc w:val="both"/>
      </w:pPr>
      <w:r>
        <w:t xml:space="preserve">Registry countersigns the VPR DUA and </w:t>
      </w:r>
      <w:proofErr w:type="gramStart"/>
      <w:r>
        <w:t>returns</w:t>
      </w:r>
      <w:proofErr w:type="gramEnd"/>
      <w:r>
        <w:t xml:space="preserve"> to the Researcher.  A copy is also uploaded to the VPR-CLS.</w:t>
      </w:r>
    </w:p>
    <w:bookmarkEnd w:id="0"/>
    <w:p w14:paraId="0EABD82C" w14:textId="4493ECD9" w:rsidR="00CB47F9" w:rsidRDefault="00CB47F9" w:rsidP="009F3BBE">
      <w:pPr>
        <w:pStyle w:val="ListParagraph"/>
        <w:ind w:left="1440"/>
        <w:jc w:val="both"/>
      </w:pPr>
    </w:p>
    <w:p w14:paraId="1B745213" w14:textId="50EF6644" w:rsidR="004E5C77" w:rsidRDefault="003C3E53" w:rsidP="00813A49">
      <w:pPr>
        <w:pStyle w:val="ListParagraph"/>
        <w:numPr>
          <w:ilvl w:val="0"/>
          <w:numId w:val="1"/>
        </w:numPr>
        <w:jc w:val="both"/>
        <w:rPr>
          <w:b/>
          <w:bCs/>
        </w:rPr>
      </w:pPr>
      <w:r>
        <w:rPr>
          <w:b/>
          <w:bCs/>
        </w:rPr>
        <w:t>Additional guidance</w:t>
      </w:r>
      <w:r w:rsidR="009A647B" w:rsidRPr="009F3BBE">
        <w:rPr>
          <w:b/>
          <w:bCs/>
        </w:rPr>
        <w:t xml:space="preserve"> for completing the </w:t>
      </w:r>
      <w:r w:rsidR="00B955F4" w:rsidRPr="009F3BBE">
        <w:rPr>
          <w:b/>
          <w:bCs/>
        </w:rPr>
        <w:t>VPR DUA</w:t>
      </w:r>
    </w:p>
    <w:p w14:paraId="2725499D" w14:textId="345DD033" w:rsidR="003C3E53" w:rsidRPr="003C3E53" w:rsidRDefault="003C3E53" w:rsidP="009F3BBE">
      <w:pPr>
        <w:pStyle w:val="ListParagraph"/>
        <w:jc w:val="both"/>
      </w:pPr>
      <w:r w:rsidRPr="009F3BBE">
        <w:t>Much of the VPR DUA is self-explanatory; however</w:t>
      </w:r>
      <w:r>
        <w:t xml:space="preserve">, additional guidance is provided for the following sections: </w:t>
      </w:r>
    </w:p>
    <w:p w14:paraId="1E9270BD" w14:textId="5872367A" w:rsidR="00CD35FA" w:rsidRDefault="00CD35FA" w:rsidP="00813A49">
      <w:pPr>
        <w:ind w:left="720"/>
        <w:jc w:val="both"/>
      </w:pPr>
      <w:r w:rsidRPr="00F60066">
        <w:rPr>
          <w:u w:val="single"/>
        </w:rPr>
        <w:t>Page 1, Header:</w:t>
      </w:r>
      <w:r>
        <w:t xml:space="preserve">  Complete this information as indicated</w:t>
      </w:r>
      <w:r w:rsidR="000C66B4">
        <w:t xml:space="preserve"> below</w:t>
      </w:r>
      <w:r>
        <w:t>.  The information provided here should match the information provided in the VPR</w:t>
      </w:r>
      <w:r w:rsidR="00993830">
        <w:t>-CLS</w:t>
      </w:r>
      <w:r>
        <w:t xml:space="preserve"> application to use data.  </w:t>
      </w:r>
      <w:r w:rsidR="00BA457B">
        <w:t>Please note the following instructions:</w:t>
      </w:r>
    </w:p>
    <w:p w14:paraId="72FBC1EF" w14:textId="66054E76" w:rsidR="00CD35FA" w:rsidRDefault="00CD35FA" w:rsidP="00EB5EA2">
      <w:pPr>
        <w:pStyle w:val="ListParagraph"/>
        <w:numPr>
          <w:ilvl w:val="0"/>
          <w:numId w:val="4"/>
        </w:numPr>
        <w:jc w:val="both"/>
      </w:pPr>
      <w:r w:rsidRPr="002A5A79">
        <w:rPr>
          <w:u w:val="single"/>
        </w:rPr>
        <w:t>The Agreement ID</w:t>
      </w:r>
      <w:r>
        <w:t xml:space="preserve"> is optional but highly recommended for project management purposes.</w:t>
      </w:r>
      <w:r w:rsidR="00EB5EA2">
        <w:t xml:space="preserve">  T</w:t>
      </w:r>
      <w:r>
        <w:t xml:space="preserve">he Parties are free to use tracking numbers as determined by their internal contract management systems.  </w:t>
      </w:r>
      <w:r w:rsidR="00EB5EA2" w:rsidRPr="00EB5EA2">
        <w:t xml:space="preserve">If the VPR DUA is processed through the online VPR-CLS, </w:t>
      </w:r>
      <w:r w:rsidR="00EB5EA2">
        <w:t xml:space="preserve">however, </w:t>
      </w:r>
      <w:r w:rsidR="00EB5EA2" w:rsidRPr="00EB5EA2">
        <w:t>Agreement ID may be automatically assigned</w:t>
      </w:r>
      <w:r w:rsidR="00EB5EA2">
        <w:t>.</w:t>
      </w:r>
    </w:p>
    <w:p w14:paraId="3F4BEA05" w14:textId="092E1864" w:rsidR="00CD35FA" w:rsidRPr="00C816F2" w:rsidRDefault="00CD35FA" w:rsidP="00813A49">
      <w:pPr>
        <w:pStyle w:val="ListParagraph"/>
        <w:numPr>
          <w:ilvl w:val="0"/>
          <w:numId w:val="4"/>
        </w:numPr>
        <w:jc w:val="both"/>
        <w:rPr>
          <w:color w:val="000000" w:themeColor="text1"/>
        </w:rPr>
      </w:pPr>
      <w:r w:rsidRPr="002A5A79">
        <w:rPr>
          <w:u w:val="single"/>
        </w:rPr>
        <w:t>The End Date</w:t>
      </w:r>
      <w:r>
        <w:t xml:space="preserve"> represents the expiration of the Agreement, and the date when the Data must be destroyed and/or returned to the Provider according to the disposition instructions at the end of Attachment 1.  </w:t>
      </w:r>
    </w:p>
    <w:p w14:paraId="5E5D8B2B" w14:textId="7F7337EB" w:rsidR="00CD35FA" w:rsidRDefault="00CD35FA" w:rsidP="00813A49">
      <w:pPr>
        <w:pStyle w:val="ListParagraph"/>
        <w:numPr>
          <w:ilvl w:val="1"/>
          <w:numId w:val="4"/>
        </w:numPr>
        <w:jc w:val="both"/>
        <w:rPr>
          <w:color w:val="000000" w:themeColor="text1"/>
        </w:rPr>
      </w:pPr>
      <w:r>
        <w:rPr>
          <w:color w:val="000000" w:themeColor="text1"/>
        </w:rPr>
        <w:t xml:space="preserve">Select the </w:t>
      </w:r>
      <w:r w:rsidR="005E12C2">
        <w:rPr>
          <w:color w:val="000000" w:themeColor="text1"/>
        </w:rPr>
        <w:t xml:space="preserve">“X (amount of </w:t>
      </w:r>
      <w:r>
        <w:rPr>
          <w:color w:val="000000" w:themeColor="text1"/>
        </w:rPr>
        <w:t>time</w:t>
      </w:r>
      <w:r w:rsidR="005E12C2">
        <w:rPr>
          <w:color w:val="000000" w:themeColor="text1"/>
        </w:rPr>
        <w:t>)</w:t>
      </w:r>
      <w:r>
        <w:rPr>
          <w:color w:val="000000" w:themeColor="text1"/>
        </w:rPr>
        <w:t xml:space="preserve"> after Start Date</w:t>
      </w:r>
      <w:r w:rsidR="005E12C2">
        <w:rPr>
          <w:color w:val="000000" w:themeColor="text1"/>
        </w:rPr>
        <w:t>”</w:t>
      </w:r>
      <w:r>
        <w:rPr>
          <w:color w:val="000000" w:themeColor="text1"/>
        </w:rPr>
        <w:t xml:space="preserve"> option if the Parties are reasonably confident that the </w:t>
      </w:r>
      <w:r w:rsidR="00D50A44">
        <w:rPr>
          <w:color w:val="000000" w:themeColor="text1"/>
        </w:rPr>
        <w:t>Project</w:t>
      </w:r>
      <w:r>
        <w:rPr>
          <w:color w:val="000000" w:themeColor="text1"/>
        </w:rPr>
        <w:t xml:space="preserve"> can be completed within the specified time</w:t>
      </w:r>
      <w:r w:rsidR="00CB0A5F">
        <w:rPr>
          <w:color w:val="000000" w:themeColor="text1"/>
        </w:rPr>
        <w:t xml:space="preserve"> or if there are institutional limits on the allow</w:t>
      </w:r>
      <w:r w:rsidR="00D50A44">
        <w:rPr>
          <w:color w:val="000000" w:themeColor="text1"/>
        </w:rPr>
        <w:t>able</w:t>
      </w:r>
      <w:r w:rsidR="00CB0A5F">
        <w:rPr>
          <w:color w:val="000000" w:themeColor="text1"/>
        </w:rPr>
        <w:t xml:space="preserve"> timeframe</w:t>
      </w:r>
      <w:r>
        <w:rPr>
          <w:color w:val="000000" w:themeColor="text1"/>
        </w:rPr>
        <w:t xml:space="preserve">. </w:t>
      </w:r>
    </w:p>
    <w:p w14:paraId="45B0EA28" w14:textId="4386F2B2" w:rsidR="00CD35FA" w:rsidRDefault="00CD35FA" w:rsidP="00813A49">
      <w:pPr>
        <w:pStyle w:val="ListParagraph"/>
        <w:numPr>
          <w:ilvl w:val="1"/>
          <w:numId w:val="4"/>
        </w:numPr>
        <w:jc w:val="both"/>
        <w:rPr>
          <w:color w:val="000000" w:themeColor="text1"/>
        </w:rPr>
      </w:pPr>
      <w:r>
        <w:rPr>
          <w:color w:val="000000" w:themeColor="text1"/>
        </w:rPr>
        <w:t xml:space="preserve">Select </w:t>
      </w:r>
      <w:r w:rsidR="005E12C2">
        <w:rPr>
          <w:color w:val="000000" w:themeColor="text1"/>
        </w:rPr>
        <w:t xml:space="preserve">the “At </w:t>
      </w:r>
      <w:r>
        <w:rPr>
          <w:color w:val="000000" w:themeColor="text1"/>
        </w:rPr>
        <w:t xml:space="preserve">End of </w:t>
      </w:r>
      <w:r w:rsidR="00D50A44">
        <w:rPr>
          <w:color w:val="000000" w:themeColor="text1"/>
        </w:rPr>
        <w:t>Project</w:t>
      </w:r>
      <w:r w:rsidR="005E12C2">
        <w:rPr>
          <w:color w:val="000000" w:themeColor="text1"/>
        </w:rPr>
        <w:t>”</w:t>
      </w:r>
      <w:r>
        <w:rPr>
          <w:color w:val="000000" w:themeColor="text1"/>
        </w:rPr>
        <w:t xml:space="preserve"> option if the </w:t>
      </w:r>
      <w:r w:rsidR="00D50A44">
        <w:rPr>
          <w:color w:val="000000" w:themeColor="text1"/>
        </w:rPr>
        <w:t>Project</w:t>
      </w:r>
      <w:r>
        <w:rPr>
          <w:color w:val="000000" w:themeColor="text1"/>
        </w:rPr>
        <w:t xml:space="preserve"> is subject to multiple extensions.  Be sure to </w:t>
      </w:r>
      <w:r w:rsidR="00A62470">
        <w:rPr>
          <w:color w:val="000000" w:themeColor="text1"/>
        </w:rPr>
        <w:t xml:space="preserve">define </w:t>
      </w:r>
      <w:r w:rsidR="000C66B4">
        <w:rPr>
          <w:color w:val="000000" w:themeColor="text1"/>
        </w:rPr>
        <w:t xml:space="preserve">what constitutes the end of the project so it is clear to </w:t>
      </w:r>
      <w:r>
        <w:rPr>
          <w:color w:val="000000" w:themeColor="text1"/>
        </w:rPr>
        <w:t>both parties.</w:t>
      </w:r>
    </w:p>
    <w:p w14:paraId="2F13CBD6" w14:textId="42AE4F12" w:rsidR="00CD35FA" w:rsidRPr="001A0550" w:rsidRDefault="008D6DE5" w:rsidP="00813A49">
      <w:pPr>
        <w:pStyle w:val="ListParagraph"/>
        <w:numPr>
          <w:ilvl w:val="1"/>
          <w:numId w:val="4"/>
        </w:numPr>
        <w:jc w:val="both"/>
        <w:rPr>
          <w:color w:val="000000" w:themeColor="text1"/>
        </w:rPr>
      </w:pPr>
      <w:r>
        <w:rPr>
          <w:color w:val="000000" w:themeColor="text1"/>
        </w:rPr>
        <w:t xml:space="preserve">Select </w:t>
      </w:r>
      <w:r w:rsidR="005E12C2">
        <w:rPr>
          <w:color w:val="000000" w:themeColor="text1"/>
        </w:rPr>
        <w:t>“</w:t>
      </w:r>
      <w:r>
        <w:rPr>
          <w:color w:val="000000" w:themeColor="text1"/>
        </w:rPr>
        <w:t>No Pre-D</w:t>
      </w:r>
      <w:r w:rsidR="00CD35FA">
        <w:rPr>
          <w:color w:val="000000" w:themeColor="text1"/>
        </w:rPr>
        <w:t>efined End Date</w:t>
      </w:r>
      <w:r w:rsidR="005E12C2">
        <w:rPr>
          <w:color w:val="000000" w:themeColor="text1"/>
        </w:rPr>
        <w:t>”</w:t>
      </w:r>
      <w:r w:rsidR="00CD35FA">
        <w:rPr>
          <w:color w:val="000000" w:themeColor="text1"/>
        </w:rPr>
        <w:t xml:space="preserve"> if it is appropriate and necessary for the Recipient to hold the Data indefinitely. </w:t>
      </w:r>
    </w:p>
    <w:p w14:paraId="257F9946" w14:textId="78F19678" w:rsidR="00CD35FA" w:rsidRDefault="005E12C2" w:rsidP="00813A49">
      <w:pPr>
        <w:pStyle w:val="ListParagraph"/>
        <w:numPr>
          <w:ilvl w:val="0"/>
          <w:numId w:val="4"/>
        </w:numPr>
        <w:jc w:val="both"/>
        <w:rPr>
          <w:color w:val="000000" w:themeColor="text1"/>
        </w:rPr>
      </w:pPr>
      <w:r>
        <w:rPr>
          <w:color w:val="000000" w:themeColor="text1"/>
          <w:u w:val="single"/>
        </w:rPr>
        <w:t xml:space="preserve">Researcher Institution </w:t>
      </w:r>
      <w:r w:rsidR="00CD35FA" w:rsidRPr="002A5A79">
        <w:rPr>
          <w:color w:val="000000" w:themeColor="text1"/>
          <w:u w:val="single"/>
        </w:rPr>
        <w:t>IRB Review Determination:</w:t>
      </w:r>
      <w:r w:rsidR="00CD35FA">
        <w:rPr>
          <w:color w:val="000000" w:themeColor="text1"/>
        </w:rPr>
        <w:t xml:space="preserve"> The Recipient should provide this information to document appropriate oversight of the project at the Recipient </w:t>
      </w:r>
      <w:r w:rsidR="00381B08">
        <w:rPr>
          <w:color w:val="000000" w:themeColor="text1"/>
        </w:rPr>
        <w:t>I</w:t>
      </w:r>
      <w:r w:rsidR="00CD35FA">
        <w:rPr>
          <w:color w:val="000000" w:themeColor="text1"/>
        </w:rPr>
        <w:t xml:space="preserve">nstitution.  Flexibility is provided to accommodate a variety of projects.  If Recipient has IRB approval for the </w:t>
      </w:r>
      <w:r w:rsidR="00D50A44">
        <w:rPr>
          <w:color w:val="000000" w:themeColor="text1"/>
        </w:rPr>
        <w:t>Project</w:t>
      </w:r>
      <w:r w:rsidR="00CD35FA">
        <w:rPr>
          <w:color w:val="000000" w:themeColor="text1"/>
        </w:rPr>
        <w:t>, the reference number for their IRB approv</w:t>
      </w:r>
      <w:r w:rsidR="008D6DE5">
        <w:rPr>
          <w:color w:val="000000" w:themeColor="text1"/>
        </w:rPr>
        <w:t xml:space="preserve">ed protocol </w:t>
      </w:r>
      <w:r w:rsidR="00CD35FA">
        <w:rPr>
          <w:color w:val="000000" w:themeColor="text1"/>
        </w:rPr>
        <w:t xml:space="preserve">must be provided. </w:t>
      </w:r>
    </w:p>
    <w:p w14:paraId="5B2BD41F" w14:textId="77777777" w:rsidR="00A62470" w:rsidRDefault="00A62470" w:rsidP="00813A49">
      <w:pPr>
        <w:pStyle w:val="ListParagraph"/>
        <w:ind w:left="0"/>
        <w:jc w:val="both"/>
        <w:rPr>
          <w:color w:val="000000" w:themeColor="text1"/>
        </w:rPr>
      </w:pPr>
    </w:p>
    <w:p w14:paraId="2B27E5AD" w14:textId="2E3DD6B8" w:rsidR="00CD35FA" w:rsidRDefault="00CD35FA" w:rsidP="00813A49">
      <w:pPr>
        <w:ind w:left="720"/>
        <w:jc w:val="both"/>
        <w:rPr>
          <w:color w:val="000000" w:themeColor="text1"/>
        </w:rPr>
      </w:pPr>
      <w:r w:rsidRPr="00F60066">
        <w:rPr>
          <w:color w:val="000000" w:themeColor="text1"/>
          <w:u w:val="single"/>
        </w:rPr>
        <w:t xml:space="preserve">Page 1, Preamble: </w:t>
      </w:r>
      <w:r>
        <w:rPr>
          <w:color w:val="000000" w:themeColor="text1"/>
        </w:rPr>
        <w:t xml:space="preserve"> The </w:t>
      </w:r>
      <w:r w:rsidR="00D50A44">
        <w:rPr>
          <w:color w:val="000000" w:themeColor="text1"/>
        </w:rPr>
        <w:t xml:space="preserve">NAACCR </w:t>
      </w:r>
      <w:r>
        <w:rPr>
          <w:color w:val="000000" w:themeColor="text1"/>
        </w:rPr>
        <w:t xml:space="preserve">DUA Task Force carefully examined many issues surrounding the creation of </w:t>
      </w:r>
      <w:r w:rsidR="00740491">
        <w:rPr>
          <w:color w:val="000000" w:themeColor="text1"/>
        </w:rPr>
        <w:t>the VPR DUA</w:t>
      </w:r>
      <w:r>
        <w:rPr>
          <w:color w:val="000000" w:themeColor="text1"/>
        </w:rPr>
        <w:t>, including the fact that</w:t>
      </w:r>
      <w:r w:rsidR="00EA76C3">
        <w:rPr>
          <w:color w:val="000000" w:themeColor="text1"/>
        </w:rPr>
        <w:t xml:space="preserve"> prior to the data release addressed by this DUA,</w:t>
      </w:r>
      <w:r>
        <w:rPr>
          <w:color w:val="000000" w:themeColor="text1"/>
        </w:rPr>
        <w:t xml:space="preserve"> </w:t>
      </w:r>
      <w:r w:rsidR="005E12C2">
        <w:rPr>
          <w:color w:val="000000" w:themeColor="text1"/>
        </w:rPr>
        <w:t xml:space="preserve">encrypted, </w:t>
      </w:r>
      <w:r w:rsidR="00B8153C">
        <w:rPr>
          <w:color w:val="000000" w:themeColor="text1"/>
        </w:rPr>
        <w:t>confidential data from the</w:t>
      </w:r>
      <w:r>
        <w:rPr>
          <w:color w:val="000000" w:themeColor="text1"/>
        </w:rPr>
        <w:t xml:space="preserve"> </w:t>
      </w:r>
      <w:r w:rsidRPr="00EB5EA2">
        <w:rPr>
          <w:color w:val="000000" w:themeColor="text1"/>
        </w:rPr>
        <w:t>Recipient</w:t>
      </w:r>
      <w:r w:rsidR="00FF0C8B" w:rsidRPr="00EB5EA2">
        <w:rPr>
          <w:color w:val="000000" w:themeColor="text1"/>
        </w:rPr>
        <w:t xml:space="preserve"> Institution</w:t>
      </w:r>
      <w:r w:rsidRPr="00EB5EA2">
        <w:rPr>
          <w:color w:val="000000" w:themeColor="text1"/>
        </w:rPr>
        <w:t xml:space="preserve"> </w:t>
      </w:r>
      <w:r w:rsidR="00B8153C" w:rsidRPr="00EB5EA2">
        <w:rPr>
          <w:color w:val="000000" w:themeColor="text1"/>
        </w:rPr>
        <w:t xml:space="preserve">was transmitted </w:t>
      </w:r>
      <w:r w:rsidRPr="00EB5EA2">
        <w:rPr>
          <w:color w:val="000000" w:themeColor="text1"/>
        </w:rPr>
        <w:t>to Provider Registry</w:t>
      </w:r>
      <w:r>
        <w:rPr>
          <w:color w:val="000000" w:themeColor="text1"/>
        </w:rPr>
        <w:t xml:space="preserve"> </w:t>
      </w:r>
      <w:proofErr w:type="gramStart"/>
      <w:r>
        <w:rPr>
          <w:color w:val="000000" w:themeColor="text1"/>
        </w:rPr>
        <w:t>in order to</w:t>
      </w:r>
      <w:proofErr w:type="gramEnd"/>
      <w:r w:rsidR="00FF0C8B">
        <w:rPr>
          <w:color w:val="000000" w:themeColor="text1"/>
        </w:rPr>
        <w:t xml:space="preserve"> perform a linkage and</w:t>
      </w:r>
      <w:r>
        <w:rPr>
          <w:color w:val="000000" w:themeColor="text1"/>
        </w:rPr>
        <w:t xml:space="preserve"> generate</w:t>
      </w:r>
      <w:r w:rsidR="005E12C2">
        <w:rPr>
          <w:color w:val="000000" w:themeColor="text1"/>
        </w:rPr>
        <w:t xml:space="preserve"> </w:t>
      </w:r>
      <w:r w:rsidR="00BA457B">
        <w:rPr>
          <w:color w:val="000000" w:themeColor="text1"/>
        </w:rPr>
        <w:t xml:space="preserve">aggregate </w:t>
      </w:r>
      <w:r w:rsidR="005E12C2">
        <w:rPr>
          <w:color w:val="000000" w:themeColor="text1"/>
        </w:rPr>
        <w:t>match</w:t>
      </w:r>
      <w:r>
        <w:rPr>
          <w:color w:val="000000" w:themeColor="text1"/>
        </w:rPr>
        <w:t xml:space="preserve"> counts</w:t>
      </w:r>
      <w:r w:rsidR="00FF0C8B">
        <w:rPr>
          <w:color w:val="000000" w:themeColor="text1"/>
        </w:rPr>
        <w:t xml:space="preserve"> </w:t>
      </w:r>
      <w:r w:rsidR="00BA457B">
        <w:rPr>
          <w:color w:val="000000" w:themeColor="text1"/>
        </w:rPr>
        <w:t xml:space="preserve">that informed Researcher </w:t>
      </w:r>
      <w:r w:rsidR="00BA457B">
        <w:rPr>
          <w:color w:val="000000" w:themeColor="text1"/>
        </w:rPr>
        <w:lastRenderedPageBreak/>
        <w:t>selection of Registries from which to request detailed cancer data</w:t>
      </w:r>
      <w:r>
        <w:rPr>
          <w:color w:val="000000" w:themeColor="text1"/>
        </w:rPr>
        <w:t xml:space="preserve">.  The </w:t>
      </w:r>
      <w:r w:rsidR="00A62470">
        <w:rPr>
          <w:color w:val="000000" w:themeColor="text1"/>
        </w:rPr>
        <w:t>VPR DUA is</w:t>
      </w:r>
      <w:r>
        <w:rPr>
          <w:color w:val="000000" w:themeColor="text1"/>
        </w:rPr>
        <w:t xml:space="preserve"> intentionally </w:t>
      </w:r>
      <w:r w:rsidR="00A62470">
        <w:rPr>
          <w:color w:val="000000" w:themeColor="text1"/>
        </w:rPr>
        <w:t xml:space="preserve">focused on </w:t>
      </w:r>
      <w:r w:rsidR="00B8153C">
        <w:rPr>
          <w:color w:val="000000" w:themeColor="text1"/>
        </w:rPr>
        <w:t xml:space="preserve">the ensuing </w:t>
      </w:r>
      <w:r w:rsidR="00A62470">
        <w:rPr>
          <w:color w:val="000000" w:themeColor="text1"/>
        </w:rPr>
        <w:t>release of</w:t>
      </w:r>
      <w:r w:rsidR="0067319F">
        <w:rPr>
          <w:color w:val="000000" w:themeColor="text1"/>
        </w:rPr>
        <w:t xml:space="preserve"> individual</w:t>
      </w:r>
      <w:r w:rsidR="00CD52D6">
        <w:rPr>
          <w:color w:val="000000" w:themeColor="text1"/>
        </w:rPr>
        <w:t>-level cancer information for</w:t>
      </w:r>
      <w:r>
        <w:rPr>
          <w:color w:val="000000" w:themeColor="text1"/>
        </w:rPr>
        <w:t xml:space="preserve"> </w:t>
      </w:r>
      <w:r w:rsidR="005E12C2">
        <w:rPr>
          <w:color w:val="000000" w:themeColor="text1"/>
        </w:rPr>
        <w:t>matched</w:t>
      </w:r>
      <w:r>
        <w:rPr>
          <w:color w:val="000000" w:themeColor="text1"/>
        </w:rPr>
        <w:t xml:space="preserve"> </w:t>
      </w:r>
      <w:r w:rsidR="0067319F">
        <w:rPr>
          <w:color w:val="000000" w:themeColor="text1"/>
        </w:rPr>
        <w:t xml:space="preserve">cases </w:t>
      </w:r>
      <w:r>
        <w:rPr>
          <w:color w:val="000000" w:themeColor="text1"/>
        </w:rPr>
        <w:t xml:space="preserve">from the </w:t>
      </w:r>
      <w:r w:rsidR="00014E1C">
        <w:rPr>
          <w:color w:val="000000" w:themeColor="text1"/>
        </w:rPr>
        <w:t xml:space="preserve">Provider </w:t>
      </w:r>
      <w:r>
        <w:rPr>
          <w:color w:val="000000" w:themeColor="text1"/>
        </w:rPr>
        <w:t xml:space="preserve">Registry to the Recipient. </w:t>
      </w:r>
      <w:r w:rsidR="005E12C2">
        <w:rPr>
          <w:color w:val="000000" w:themeColor="text1"/>
        </w:rPr>
        <w:t>T</w:t>
      </w:r>
      <w:r>
        <w:rPr>
          <w:color w:val="000000" w:themeColor="text1"/>
        </w:rPr>
        <w:t xml:space="preserve">his is not </w:t>
      </w:r>
      <w:r w:rsidR="005E12C2">
        <w:rPr>
          <w:color w:val="000000" w:themeColor="text1"/>
        </w:rPr>
        <w:t xml:space="preserve">intended </w:t>
      </w:r>
      <w:r>
        <w:rPr>
          <w:color w:val="000000" w:themeColor="text1"/>
        </w:rPr>
        <w:t xml:space="preserve">to minimize the Registry’s responsibility in data protection, but rather to avoid the many complexities involved in a </w:t>
      </w:r>
      <w:r w:rsidR="005E12C2">
        <w:rPr>
          <w:color w:val="000000" w:themeColor="text1"/>
        </w:rPr>
        <w:t>two</w:t>
      </w:r>
      <w:r>
        <w:rPr>
          <w:color w:val="000000" w:themeColor="text1"/>
        </w:rPr>
        <w:t xml:space="preserve">-way </w:t>
      </w:r>
      <w:r w:rsidR="00BA457B">
        <w:rPr>
          <w:color w:val="000000" w:themeColor="text1"/>
        </w:rPr>
        <w:t xml:space="preserve">data exchange </w:t>
      </w:r>
      <w:r>
        <w:rPr>
          <w:color w:val="000000" w:themeColor="text1"/>
        </w:rPr>
        <w:t>DUA</w:t>
      </w:r>
      <w:r w:rsidR="00BA457B">
        <w:rPr>
          <w:color w:val="000000" w:themeColor="text1"/>
        </w:rPr>
        <w:t>s</w:t>
      </w:r>
      <w:r>
        <w:rPr>
          <w:color w:val="000000" w:themeColor="text1"/>
        </w:rPr>
        <w:t>, which often require more customization than this template can accommodate.  Because the Provider</w:t>
      </w:r>
      <w:r w:rsidR="00BA457B">
        <w:rPr>
          <w:color w:val="000000" w:themeColor="text1"/>
        </w:rPr>
        <w:t xml:space="preserve"> Registries</w:t>
      </w:r>
      <w:r>
        <w:rPr>
          <w:color w:val="000000" w:themeColor="text1"/>
        </w:rPr>
        <w:t xml:space="preserve"> handles sensitive, identifiable data as part of regular business, the</w:t>
      </w:r>
      <w:r w:rsidR="00BA457B">
        <w:rPr>
          <w:color w:val="000000" w:themeColor="text1"/>
        </w:rPr>
        <w:t xml:space="preserve">y </w:t>
      </w:r>
      <w:r>
        <w:rPr>
          <w:color w:val="000000" w:themeColor="text1"/>
        </w:rPr>
        <w:t>ha</w:t>
      </w:r>
      <w:r w:rsidR="00BA457B">
        <w:rPr>
          <w:color w:val="000000" w:themeColor="text1"/>
        </w:rPr>
        <w:t>ve</w:t>
      </w:r>
      <w:r>
        <w:rPr>
          <w:color w:val="000000" w:themeColor="text1"/>
        </w:rPr>
        <w:t xml:space="preserve"> in place robust systems to protect such data and </w:t>
      </w:r>
      <w:r w:rsidR="00BA457B">
        <w:rPr>
          <w:color w:val="000000" w:themeColor="text1"/>
        </w:rPr>
        <w:t>are</w:t>
      </w:r>
      <w:r>
        <w:rPr>
          <w:color w:val="000000" w:themeColor="text1"/>
        </w:rPr>
        <w:t xml:space="preserve"> well-equipped to protect any identifiers received from the Recipient.  </w:t>
      </w:r>
    </w:p>
    <w:p w14:paraId="69E299AB" w14:textId="15631A5A" w:rsidR="00CD35FA" w:rsidRDefault="00CD35FA" w:rsidP="00813A49">
      <w:pPr>
        <w:ind w:left="720"/>
        <w:jc w:val="both"/>
        <w:rPr>
          <w:iCs/>
        </w:rPr>
      </w:pPr>
      <w:r>
        <w:rPr>
          <w:iCs/>
          <w:u w:val="single"/>
        </w:rPr>
        <w:t>Page 2, #6:</w:t>
      </w:r>
      <w:r>
        <w:rPr>
          <w:iCs/>
        </w:rPr>
        <w:t xml:space="preserve"> This provision is intended to clarify that the Recipient receives no additional permissions through this agreement to contact individuals who may be the subject of the Data.  If a Recipient already has permission to contact individuals (</w:t>
      </w:r>
      <w:proofErr w:type="gramStart"/>
      <w:r>
        <w:rPr>
          <w:iCs/>
        </w:rPr>
        <w:t>e.g.</w:t>
      </w:r>
      <w:proofErr w:type="gramEnd"/>
      <w:r>
        <w:rPr>
          <w:iCs/>
        </w:rPr>
        <w:t xml:space="preserve"> via their </w:t>
      </w:r>
      <w:r w:rsidR="00381B08">
        <w:rPr>
          <w:iCs/>
        </w:rPr>
        <w:t xml:space="preserve">institution’s </w:t>
      </w:r>
      <w:r>
        <w:rPr>
          <w:iCs/>
        </w:rPr>
        <w:t xml:space="preserve">IRB approval), they may continue to do so.  However, the Recipient may not use any elements of the Data received solely from the Provider to make contact or re-identify these individuals. </w:t>
      </w:r>
    </w:p>
    <w:p w14:paraId="352E2F1B" w14:textId="4DB67CD1" w:rsidR="00CD35FA" w:rsidRDefault="00CD35FA" w:rsidP="00813A49">
      <w:pPr>
        <w:ind w:left="720"/>
        <w:jc w:val="both"/>
        <w:rPr>
          <w:iCs/>
        </w:rPr>
      </w:pPr>
      <w:r>
        <w:rPr>
          <w:iCs/>
          <w:u w:val="single"/>
        </w:rPr>
        <w:t>Page 3, #14:</w:t>
      </w:r>
      <w:r>
        <w:rPr>
          <w:iCs/>
        </w:rPr>
        <w:t xml:space="preserve"> This provision is intended to clarify the circumstances under which the Recipient may further share </w:t>
      </w:r>
      <w:r w:rsidR="003C3E53">
        <w:rPr>
          <w:iCs/>
        </w:rPr>
        <w:t xml:space="preserve">a dataset that includes study-acquired information augmented with elements of the Data received from the Provider.  </w:t>
      </w:r>
      <w:r>
        <w:rPr>
          <w:iCs/>
        </w:rPr>
        <w:t xml:space="preserve">Compliance with these terms is critical to ensure protection of individuals who may be the subject of the </w:t>
      </w:r>
      <w:proofErr w:type="gramStart"/>
      <w:r>
        <w:rPr>
          <w:iCs/>
        </w:rPr>
        <w:t>Data</w:t>
      </w:r>
      <w:r w:rsidR="00422D7A">
        <w:rPr>
          <w:iCs/>
        </w:rPr>
        <w:t>, yet</w:t>
      </w:r>
      <w:proofErr w:type="gramEnd"/>
      <w:r w:rsidR="003C3E53">
        <w:rPr>
          <w:iCs/>
        </w:rPr>
        <w:t xml:space="preserve"> allow Recipients to meet any requirements </w:t>
      </w:r>
      <w:r w:rsidR="00422D7A">
        <w:rPr>
          <w:iCs/>
        </w:rPr>
        <w:t>to share data</w:t>
      </w:r>
      <w:r>
        <w:rPr>
          <w:iCs/>
        </w:rPr>
        <w:t xml:space="preserve">.  To be clear, any data elements that Recipient holds that are related to the </w:t>
      </w:r>
      <w:r w:rsidR="00D50A44">
        <w:rPr>
          <w:iCs/>
        </w:rPr>
        <w:t>Project</w:t>
      </w:r>
      <w:r>
        <w:rPr>
          <w:iCs/>
        </w:rPr>
        <w:t xml:space="preserve"> but were not received from the Provider</w:t>
      </w:r>
      <w:r w:rsidR="00796A84">
        <w:rPr>
          <w:iCs/>
        </w:rPr>
        <w:t xml:space="preserve"> or derived from data received from Provider,</w:t>
      </w:r>
      <w:r>
        <w:rPr>
          <w:iCs/>
        </w:rPr>
        <w:t xml:space="preserve"> are not subject to the terms and conditions of this agreement.</w:t>
      </w:r>
      <w:r w:rsidR="003C3E53">
        <w:rPr>
          <w:iCs/>
        </w:rPr>
        <w:t xml:space="preserve">  </w:t>
      </w:r>
      <w:r>
        <w:rPr>
          <w:iCs/>
        </w:rPr>
        <w:t xml:space="preserve">  The open text box should be used by the Provider to convey any data-specific restrictions that apply</w:t>
      </w:r>
      <w:r w:rsidR="005E12C2">
        <w:rPr>
          <w:iCs/>
        </w:rPr>
        <w:t>. This box</w:t>
      </w:r>
      <w:r>
        <w:rPr>
          <w:iCs/>
        </w:rPr>
        <w:t xml:space="preserve"> should not be used to insert additional terms and conditions.</w:t>
      </w:r>
      <w:r w:rsidR="006043F1" w:rsidRPr="006043F1">
        <w:t xml:space="preserve"> </w:t>
      </w:r>
      <w:r w:rsidR="006043F1" w:rsidRPr="006043F1">
        <w:rPr>
          <w:iCs/>
        </w:rPr>
        <w:t>If the Recipient is not permitted to share data with any other entities, this may be documented in the text box.</w:t>
      </w:r>
    </w:p>
    <w:p w14:paraId="5B935D1E" w14:textId="19E8E894" w:rsidR="00CD35FA" w:rsidRDefault="00CD35FA" w:rsidP="00813A49">
      <w:pPr>
        <w:ind w:left="720"/>
        <w:jc w:val="both"/>
        <w:rPr>
          <w:iCs/>
        </w:rPr>
      </w:pPr>
      <w:r>
        <w:rPr>
          <w:iCs/>
          <w:u w:val="single"/>
        </w:rPr>
        <w:t xml:space="preserve">Attachment 1, General Instructions: </w:t>
      </w:r>
      <w:r>
        <w:rPr>
          <w:iCs/>
        </w:rPr>
        <w:t xml:space="preserve"> </w:t>
      </w:r>
      <w:r w:rsidR="005E12C2">
        <w:rPr>
          <w:iCs/>
        </w:rPr>
        <w:t>Each item in the attachment should be completed by the party specified (</w:t>
      </w:r>
      <w:proofErr w:type="gramStart"/>
      <w:r w:rsidR="005E12C2">
        <w:rPr>
          <w:iCs/>
        </w:rPr>
        <w:t>e.g.</w:t>
      </w:r>
      <w:proofErr w:type="gramEnd"/>
      <w:r w:rsidR="005E12C2">
        <w:rPr>
          <w:iCs/>
        </w:rPr>
        <w:t xml:space="preserve"> Recipient or Provider).  The response text boxes </w:t>
      </w:r>
      <w:r>
        <w:rPr>
          <w:iCs/>
        </w:rPr>
        <w:t xml:space="preserve">contain instructions for the </w:t>
      </w:r>
      <w:r w:rsidR="000C2761">
        <w:rPr>
          <w:iCs/>
        </w:rPr>
        <w:t xml:space="preserve">Provider and </w:t>
      </w:r>
      <w:r>
        <w:rPr>
          <w:iCs/>
        </w:rPr>
        <w:t xml:space="preserve">Recipient, including examples of the information required.  The </w:t>
      </w:r>
      <w:r w:rsidR="000C2761">
        <w:rPr>
          <w:iCs/>
        </w:rPr>
        <w:t xml:space="preserve">instructions </w:t>
      </w:r>
      <w:r>
        <w:rPr>
          <w:iCs/>
        </w:rPr>
        <w:t xml:space="preserve">should be deleted and replaced with the information requested.  </w:t>
      </w:r>
    </w:p>
    <w:p w14:paraId="3F681D64" w14:textId="6CDF2A20" w:rsidR="00CD35FA" w:rsidRDefault="00CD35FA" w:rsidP="00813A49">
      <w:pPr>
        <w:pStyle w:val="ListParagraph"/>
        <w:numPr>
          <w:ilvl w:val="0"/>
          <w:numId w:val="5"/>
        </w:numPr>
        <w:jc w:val="both"/>
        <w:rPr>
          <w:iCs/>
        </w:rPr>
      </w:pPr>
      <w:r>
        <w:rPr>
          <w:iCs/>
          <w:u w:val="single"/>
        </w:rPr>
        <w:t xml:space="preserve">#1, </w:t>
      </w:r>
      <w:r w:rsidR="005E12C2">
        <w:rPr>
          <w:iCs/>
          <w:u w:val="single"/>
        </w:rPr>
        <w:t xml:space="preserve">Summary </w:t>
      </w:r>
      <w:r>
        <w:rPr>
          <w:iCs/>
          <w:u w:val="single"/>
        </w:rPr>
        <w:t xml:space="preserve">Description of Project: </w:t>
      </w:r>
      <w:r>
        <w:rPr>
          <w:iCs/>
        </w:rPr>
        <w:t xml:space="preserve">This should be a short, abstract-like summary of the </w:t>
      </w:r>
      <w:r w:rsidR="00D50A44">
        <w:rPr>
          <w:iCs/>
        </w:rPr>
        <w:t>Project</w:t>
      </w:r>
      <w:r>
        <w:rPr>
          <w:iCs/>
        </w:rPr>
        <w:t xml:space="preserve"> described in the application to </w:t>
      </w:r>
      <w:r w:rsidR="00422D7A">
        <w:rPr>
          <w:iCs/>
        </w:rPr>
        <w:t>re</w:t>
      </w:r>
      <w:r w:rsidR="00422D7A">
        <w:rPr>
          <w:iCs/>
        </w:rPr>
        <w:t xml:space="preserve">quest </w:t>
      </w:r>
      <w:r>
        <w:rPr>
          <w:iCs/>
        </w:rPr>
        <w:t>data</w:t>
      </w:r>
      <w:r w:rsidR="00422D7A">
        <w:rPr>
          <w:iCs/>
        </w:rPr>
        <w:t xml:space="preserve"> from the Provider</w:t>
      </w:r>
      <w:r>
        <w:rPr>
          <w:iCs/>
        </w:rPr>
        <w:t xml:space="preserve">.  Write in a manner </w:t>
      </w:r>
      <w:r w:rsidR="00422D7A">
        <w:rPr>
          <w:iCs/>
        </w:rPr>
        <w:t xml:space="preserve">so </w:t>
      </w:r>
      <w:r>
        <w:rPr>
          <w:iCs/>
        </w:rPr>
        <w:t>that a non-scientific, legal reviewer of the contract will understand what is being done with the Data.</w:t>
      </w:r>
    </w:p>
    <w:p w14:paraId="45E59948" w14:textId="50EAD2F5" w:rsidR="00422D7A" w:rsidRDefault="00CD35FA" w:rsidP="00813A49">
      <w:pPr>
        <w:pStyle w:val="ListParagraph"/>
        <w:numPr>
          <w:ilvl w:val="0"/>
          <w:numId w:val="5"/>
        </w:numPr>
        <w:jc w:val="both"/>
        <w:rPr>
          <w:iCs/>
          <w:u w:val="single"/>
        </w:rPr>
      </w:pPr>
      <w:r w:rsidRPr="00C853BB">
        <w:rPr>
          <w:iCs/>
          <w:u w:val="single"/>
        </w:rPr>
        <w:t xml:space="preserve">#2, </w:t>
      </w:r>
      <w:r w:rsidR="00422D7A">
        <w:rPr>
          <w:iCs/>
          <w:u w:val="single"/>
        </w:rPr>
        <w:t>Summary Description of Data Sharing Plan:</w:t>
      </w:r>
      <w:r w:rsidR="00422D7A">
        <w:rPr>
          <w:iCs/>
        </w:rPr>
        <w:t xml:space="preserve">  </w:t>
      </w:r>
      <w:r w:rsidR="003D2C4F">
        <w:rPr>
          <w:iCs/>
        </w:rPr>
        <w:t>This should be a concise summary of the Recipient’s plan to share a dataset that includes</w:t>
      </w:r>
      <w:r w:rsidR="003D2C4F">
        <w:rPr>
          <w:iCs/>
        </w:rPr>
        <w:t xml:space="preserve"> study-acquired information augmented with elements of the Data received from the Provider</w:t>
      </w:r>
      <w:r w:rsidR="003D2C4F">
        <w:rPr>
          <w:iCs/>
        </w:rPr>
        <w:t xml:space="preserve">.  The response should address the type and content of the data to be shared, any known parties with whom data will be shared, and how the data sharing will be managed in a </w:t>
      </w:r>
      <w:r w:rsidR="00BB5581">
        <w:rPr>
          <w:iCs/>
        </w:rPr>
        <w:t>manner</w:t>
      </w:r>
      <w:r w:rsidR="003D2C4F">
        <w:rPr>
          <w:iCs/>
        </w:rPr>
        <w:t xml:space="preserve"> that complies with Term 14 of the VPR Templated DUA and ensures protection of the shared data. </w:t>
      </w:r>
    </w:p>
    <w:p w14:paraId="183C68D6" w14:textId="266FC1AA" w:rsidR="00CD35FA" w:rsidRPr="00C853BB" w:rsidRDefault="002A6B65" w:rsidP="00813A49">
      <w:pPr>
        <w:pStyle w:val="ListParagraph"/>
        <w:numPr>
          <w:ilvl w:val="0"/>
          <w:numId w:val="5"/>
        </w:numPr>
        <w:jc w:val="both"/>
        <w:rPr>
          <w:iCs/>
          <w:u w:val="single"/>
        </w:rPr>
      </w:pPr>
      <w:r>
        <w:rPr>
          <w:iCs/>
          <w:u w:val="single"/>
        </w:rPr>
        <w:t xml:space="preserve">#3, </w:t>
      </w:r>
      <w:r w:rsidR="005E12C2">
        <w:rPr>
          <w:iCs/>
          <w:u w:val="single"/>
        </w:rPr>
        <w:t xml:space="preserve">Summary </w:t>
      </w:r>
      <w:r w:rsidR="00CD35FA" w:rsidRPr="00C853BB">
        <w:rPr>
          <w:iCs/>
          <w:u w:val="single"/>
        </w:rPr>
        <w:t xml:space="preserve">Description of Data </w:t>
      </w:r>
      <w:r w:rsidR="000C2761">
        <w:rPr>
          <w:iCs/>
          <w:u w:val="single"/>
        </w:rPr>
        <w:t>Released by the Provider</w:t>
      </w:r>
      <w:r w:rsidR="00CD35FA" w:rsidRPr="00C853BB">
        <w:rPr>
          <w:iCs/>
          <w:u w:val="single"/>
        </w:rPr>
        <w:t xml:space="preserve">: </w:t>
      </w:r>
      <w:r w:rsidR="00CD35FA">
        <w:rPr>
          <w:iCs/>
          <w:u w:val="single"/>
        </w:rPr>
        <w:t xml:space="preserve"> </w:t>
      </w:r>
      <w:r w:rsidR="00CD35FA">
        <w:rPr>
          <w:iCs/>
        </w:rPr>
        <w:t>Please provide a brief summary of the Data, including salient variables</w:t>
      </w:r>
      <w:r w:rsidR="00381B08">
        <w:rPr>
          <w:iCs/>
        </w:rPr>
        <w:t xml:space="preserve"> or sets of variables (</w:t>
      </w:r>
      <w:proofErr w:type="gramStart"/>
      <w:r w:rsidR="00381B08">
        <w:rPr>
          <w:iCs/>
        </w:rPr>
        <w:t>e.g.</w:t>
      </w:r>
      <w:proofErr w:type="gramEnd"/>
      <w:r w:rsidR="00381B08">
        <w:rPr>
          <w:iCs/>
        </w:rPr>
        <w:t xml:space="preserve"> treatment, stage, etc.)</w:t>
      </w:r>
      <w:r w:rsidR="00CD35FA">
        <w:rPr>
          <w:iCs/>
        </w:rPr>
        <w:t>.  Do not provide a full variable list</w:t>
      </w:r>
      <w:r>
        <w:rPr>
          <w:iCs/>
        </w:rPr>
        <w:t>. Instead, include</w:t>
      </w:r>
      <w:r w:rsidR="00CD35FA">
        <w:rPr>
          <w:iCs/>
        </w:rPr>
        <w:t xml:space="preserve"> sufficient information for a non-scientific, legal reviewer of the contract to determine if the terms in the agreement are appropriate</w:t>
      </w:r>
      <w:r w:rsidR="00F5584F">
        <w:rPr>
          <w:iCs/>
        </w:rPr>
        <w:t xml:space="preserve"> for the type of data released</w:t>
      </w:r>
      <w:r w:rsidR="00CD35FA">
        <w:rPr>
          <w:iCs/>
        </w:rPr>
        <w:t xml:space="preserve">. </w:t>
      </w:r>
    </w:p>
    <w:p w14:paraId="0A505E8A" w14:textId="28656D87" w:rsidR="005E12C2" w:rsidRDefault="005E12C2" w:rsidP="00813A49">
      <w:pPr>
        <w:pStyle w:val="ListParagraph"/>
        <w:numPr>
          <w:ilvl w:val="0"/>
          <w:numId w:val="5"/>
        </w:numPr>
        <w:jc w:val="both"/>
        <w:rPr>
          <w:iCs/>
          <w:u w:val="single"/>
        </w:rPr>
      </w:pPr>
      <w:r>
        <w:rPr>
          <w:iCs/>
          <w:u w:val="single"/>
        </w:rPr>
        <w:lastRenderedPageBreak/>
        <w:t>#</w:t>
      </w:r>
      <w:r w:rsidR="002A6B65">
        <w:rPr>
          <w:iCs/>
          <w:u w:val="single"/>
        </w:rPr>
        <w:t>4</w:t>
      </w:r>
      <w:r>
        <w:rPr>
          <w:iCs/>
          <w:u w:val="single"/>
        </w:rPr>
        <w:t>, Expected Frequency for Recurring Linkages, if applicable:</w:t>
      </w:r>
      <w:r>
        <w:rPr>
          <w:iCs/>
        </w:rPr>
        <w:t xml:space="preserve">  If future recurring linkages are anticipated, the frequency is to be noted.</w:t>
      </w:r>
    </w:p>
    <w:p w14:paraId="608E959C" w14:textId="477AF47C" w:rsidR="00CD35FA" w:rsidRPr="00C853BB" w:rsidRDefault="00CD35FA" w:rsidP="00813A49">
      <w:pPr>
        <w:pStyle w:val="ListParagraph"/>
        <w:numPr>
          <w:ilvl w:val="0"/>
          <w:numId w:val="5"/>
        </w:numPr>
        <w:jc w:val="both"/>
        <w:rPr>
          <w:iCs/>
          <w:u w:val="single"/>
        </w:rPr>
      </w:pPr>
      <w:r>
        <w:rPr>
          <w:iCs/>
          <w:u w:val="single"/>
        </w:rPr>
        <w:t>#</w:t>
      </w:r>
      <w:r w:rsidR="002A6B65">
        <w:rPr>
          <w:iCs/>
          <w:u w:val="single"/>
        </w:rPr>
        <w:t>5</w:t>
      </w:r>
      <w:r>
        <w:rPr>
          <w:iCs/>
          <w:u w:val="single"/>
        </w:rPr>
        <w:t>, Data Transmission and Provider Support:</w:t>
      </w:r>
      <w:r>
        <w:rPr>
          <w:iCs/>
        </w:rPr>
        <w:t xml:space="preserve"> The Recipient should insert the day-to-day technical contact person who will receive the Data.  This may not be the Researcher but should be someone taking direction from the Researcher.  </w:t>
      </w:r>
    </w:p>
    <w:p w14:paraId="590E6088" w14:textId="53021E46" w:rsidR="00CD35FA" w:rsidRPr="006A2FBA" w:rsidRDefault="000C2761" w:rsidP="00813A49">
      <w:pPr>
        <w:pStyle w:val="ListParagraph"/>
        <w:numPr>
          <w:ilvl w:val="0"/>
          <w:numId w:val="5"/>
        </w:numPr>
        <w:jc w:val="both"/>
      </w:pPr>
      <w:r w:rsidRPr="00FF0C8B">
        <w:rPr>
          <w:iCs/>
          <w:u w:val="single"/>
        </w:rPr>
        <w:t>#</w:t>
      </w:r>
      <w:r w:rsidR="002A6B65">
        <w:rPr>
          <w:iCs/>
          <w:u w:val="single"/>
        </w:rPr>
        <w:t>6</w:t>
      </w:r>
      <w:r w:rsidRPr="00FF0C8B">
        <w:rPr>
          <w:iCs/>
          <w:u w:val="single"/>
        </w:rPr>
        <w:t>, Technical Requirements for Data Transmitted to Recipient</w:t>
      </w:r>
      <w:r>
        <w:rPr>
          <w:iCs/>
        </w:rPr>
        <w:t xml:space="preserve">: </w:t>
      </w:r>
      <w:r w:rsidR="00CD35FA">
        <w:rPr>
          <w:iCs/>
        </w:rPr>
        <w:t>The Provider should document how the</w:t>
      </w:r>
      <w:r>
        <w:rPr>
          <w:iCs/>
        </w:rPr>
        <w:t>y</w:t>
      </w:r>
      <w:r w:rsidR="00CD35FA">
        <w:rPr>
          <w:iCs/>
        </w:rPr>
        <w:t xml:space="preserve"> will assist the Recipient with accessing and utilizing the Data.  </w:t>
      </w:r>
    </w:p>
    <w:p w14:paraId="1BB95621" w14:textId="0E92C624" w:rsidR="002A6B65" w:rsidRDefault="002A6B65" w:rsidP="00813A49">
      <w:pPr>
        <w:pStyle w:val="ListParagraph"/>
        <w:numPr>
          <w:ilvl w:val="0"/>
          <w:numId w:val="5"/>
        </w:numPr>
        <w:jc w:val="both"/>
        <w:rPr>
          <w:iCs/>
          <w:u w:val="single"/>
        </w:rPr>
      </w:pPr>
      <w:r>
        <w:rPr>
          <w:iCs/>
          <w:u w:val="single"/>
        </w:rPr>
        <w:t>#7, Publication Requirements:</w:t>
      </w:r>
      <w:r>
        <w:rPr>
          <w:iCs/>
        </w:rPr>
        <w:t xml:space="preserve">  This section allows Providers to indicate </w:t>
      </w:r>
      <w:proofErr w:type="gramStart"/>
      <w:r>
        <w:rPr>
          <w:iCs/>
        </w:rPr>
        <w:t>whether or not</w:t>
      </w:r>
      <w:proofErr w:type="gramEnd"/>
      <w:r>
        <w:rPr>
          <w:iCs/>
        </w:rPr>
        <w:t xml:space="preserve"> their cell size suppression rule aligns with the standard suppression rule stated in Term 7.  Providers with a more conservative rule can clarify their requirement in this section rather than modifying the Terms and Conditions of the VPR DUA.</w:t>
      </w:r>
    </w:p>
    <w:p w14:paraId="179A199A" w14:textId="0A92D77D" w:rsidR="00CD35FA" w:rsidRPr="00A71682" w:rsidRDefault="00CD35FA" w:rsidP="00813A49">
      <w:pPr>
        <w:pStyle w:val="ListParagraph"/>
        <w:numPr>
          <w:ilvl w:val="0"/>
          <w:numId w:val="5"/>
        </w:numPr>
        <w:jc w:val="both"/>
        <w:rPr>
          <w:iCs/>
          <w:u w:val="single"/>
        </w:rPr>
      </w:pPr>
      <w:r w:rsidRPr="006A2FBA">
        <w:rPr>
          <w:iCs/>
          <w:u w:val="single"/>
        </w:rPr>
        <w:t>#</w:t>
      </w:r>
      <w:r w:rsidR="002A6B65">
        <w:rPr>
          <w:iCs/>
          <w:u w:val="single"/>
        </w:rPr>
        <w:t>8</w:t>
      </w:r>
      <w:r w:rsidRPr="006A2FBA">
        <w:rPr>
          <w:iCs/>
          <w:u w:val="single"/>
        </w:rPr>
        <w:t>, Acknowledgement</w:t>
      </w:r>
      <w:r w:rsidR="000C2761">
        <w:rPr>
          <w:iCs/>
          <w:u w:val="single"/>
        </w:rPr>
        <w:t xml:space="preserve"> Statement</w:t>
      </w:r>
      <w:r w:rsidRPr="006A2FBA">
        <w:rPr>
          <w:iCs/>
          <w:u w:val="single"/>
        </w:rPr>
        <w:t xml:space="preserve"> </w:t>
      </w:r>
      <w:r w:rsidR="005B2232">
        <w:rPr>
          <w:iCs/>
          <w:u w:val="single"/>
        </w:rPr>
        <w:t>for Publicatio</w:t>
      </w:r>
      <w:r w:rsidR="000C2761">
        <w:rPr>
          <w:iCs/>
          <w:u w:val="single"/>
        </w:rPr>
        <w:t>ns</w:t>
      </w:r>
      <w:r w:rsidRPr="006A2FBA">
        <w:rPr>
          <w:iCs/>
          <w:u w:val="single"/>
        </w:rPr>
        <w:t xml:space="preserve">: </w:t>
      </w:r>
      <w:r>
        <w:rPr>
          <w:iCs/>
        </w:rPr>
        <w:t xml:space="preserve">This section was designed to ensure consistent acknowledgements in </w:t>
      </w:r>
      <w:r w:rsidR="00813A49">
        <w:rPr>
          <w:iCs/>
        </w:rPr>
        <w:t>manuscripts</w:t>
      </w:r>
      <w:r>
        <w:rPr>
          <w:iCs/>
        </w:rPr>
        <w:t xml:space="preserve"> that result from these </w:t>
      </w:r>
      <w:r w:rsidR="00112244">
        <w:rPr>
          <w:iCs/>
        </w:rPr>
        <w:t>Projects</w:t>
      </w:r>
      <w:r>
        <w:rPr>
          <w:iCs/>
        </w:rPr>
        <w:t xml:space="preserve">, while simultaneously providing flexibility for those Providers who have special requirements for acknowledgements.  </w:t>
      </w:r>
      <w:r w:rsidR="005E12C2">
        <w:rPr>
          <w:iCs/>
        </w:rPr>
        <w:t xml:space="preserve">The acknowledgement statement has been approved by NCI-SEER and CDC-NPCR. </w:t>
      </w:r>
      <w:r>
        <w:rPr>
          <w:iCs/>
        </w:rPr>
        <w:t xml:space="preserve">The Provider is expected to select one of the </w:t>
      </w:r>
      <w:r w:rsidR="005B2232">
        <w:rPr>
          <w:iCs/>
        </w:rPr>
        <w:t>three</w:t>
      </w:r>
      <w:r>
        <w:rPr>
          <w:iCs/>
        </w:rPr>
        <w:t xml:space="preserve"> check boxes. If the second or third boxes are selected, the Provider is expected to insert their required acknowledgement language, which the Recipient will utilize when submitting manuscripts.</w:t>
      </w:r>
      <w:r w:rsidR="005A5E84">
        <w:rPr>
          <w:iCs/>
        </w:rPr>
        <w:t xml:space="preserve"> </w:t>
      </w:r>
    </w:p>
    <w:p w14:paraId="0DD4D468" w14:textId="3E6190DB" w:rsidR="00CD35FA" w:rsidRPr="007A7331" w:rsidRDefault="00CD35FA" w:rsidP="00EB5EA2">
      <w:pPr>
        <w:pStyle w:val="ListParagraph"/>
        <w:numPr>
          <w:ilvl w:val="0"/>
          <w:numId w:val="5"/>
        </w:numPr>
        <w:jc w:val="both"/>
        <w:rPr>
          <w:iCs/>
          <w:u w:val="single"/>
        </w:rPr>
      </w:pPr>
      <w:r>
        <w:rPr>
          <w:iCs/>
          <w:u w:val="single"/>
        </w:rPr>
        <w:t xml:space="preserve"># </w:t>
      </w:r>
      <w:r w:rsidR="002A6B65">
        <w:rPr>
          <w:iCs/>
          <w:u w:val="single"/>
        </w:rPr>
        <w:t>9</w:t>
      </w:r>
      <w:r>
        <w:rPr>
          <w:iCs/>
          <w:u w:val="single"/>
        </w:rPr>
        <w:t xml:space="preserve">, </w:t>
      </w:r>
      <w:r w:rsidR="009C49C7">
        <w:rPr>
          <w:iCs/>
          <w:u w:val="single"/>
        </w:rPr>
        <w:t xml:space="preserve">Data Destruction and/or Retention </w:t>
      </w:r>
      <w:r>
        <w:rPr>
          <w:iCs/>
          <w:u w:val="single"/>
        </w:rPr>
        <w:t>Requirements:</w:t>
      </w:r>
      <w:r>
        <w:rPr>
          <w:iCs/>
        </w:rPr>
        <w:t xml:space="preserve">  The </w:t>
      </w:r>
      <w:r w:rsidR="005A5E84">
        <w:rPr>
          <w:iCs/>
        </w:rPr>
        <w:t xml:space="preserve">Parties </w:t>
      </w:r>
      <w:r>
        <w:rPr>
          <w:iCs/>
        </w:rPr>
        <w:t xml:space="preserve">shall insert instructions for how the Data shall be disposed of upon expiration/termination of the agreement, </w:t>
      </w:r>
      <w:proofErr w:type="gramStart"/>
      <w:r>
        <w:rPr>
          <w:iCs/>
        </w:rPr>
        <w:t>taking into account</w:t>
      </w:r>
      <w:proofErr w:type="gramEnd"/>
      <w:r>
        <w:rPr>
          <w:iCs/>
        </w:rPr>
        <w:t xml:space="preserve"> the nature of the </w:t>
      </w:r>
      <w:r w:rsidR="00D50A44">
        <w:rPr>
          <w:iCs/>
        </w:rPr>
        <w:t>Project</w:t>
      </w:r>
      <w:r>
        <w:rPr>
          <w:iCs/>
        </w:rPr>
        <w:t xml:space="preserve"> and all legal and regulatory factors applicable to the Data.  </w:t>
      </w:r>
      <w:r w:rsidR="00EB5EA2" w:rsidRPr="00EB5EA2">
        <w:rPr>
          <w:iCs/>
        </w:rPr>
        <w:t xml:space="preserve">Include data destruction methods and timeline.  </w:t>
      </w:r>
    </w:p>
    <w:p w14:paraId="38E55ABF" w14:textId="5CC562B8" w:rsidR="00CD35FA" w:rsidRDefault="00CD35FA" w:rsidP="00CD35FA">
      <w:pPr>
        <w:ind w:left="360"/>
        <w:rPr>
          <w:iCs/>
          <w:u w:val="single"/>
        </w:rPr>
      </w:pPr>
    </w:p>
    <w:p w14:paraId="1B69184B" w14:textId="7444B9A6" w:rsidR="009134E1" w:rsidRPr="002646BB" w:rsidRDefault="00B955F4" w:rsidP="003228BB">
      <w:pPr>
        <w:jc w:val="center"/>
        <w:rPr>
          <w:b/>
          <w:iCs/>
          <w:sz w:val="24"/>
          <w:szCs w:val="24"/>
          <w:u w:val="single"/>
        </w:rPr>
      </w:pPr>
      <w:r w:rsidRPr="002646BB">
        <w:rPr>
          <w:b/>
          <w:iCs/>
          <w:sz w:val="24"/>
          <w:szCs w:val="24"/>
          <w:u w:val="single"/>
        </w:rPr>
        <w:t xml:space="preserve">Glossary of </w:t>
      </w:r>
      <w:r w:rsidR="001F3508">
        <w:rPr>
          <w:b/>
          <w:iCs/>
          <w:sz w:val="24"/>
          <w:szCs w:val="24"/>
          <w:u w:val="single"/>
        </w:rPr>
        <w:t xml:space="preserve">VPR DUA </w:t>
      </w:r>
      <w:r w:rsidR="009134E1" w:rsidRPr="002646BB">
        <w:rPr>
          <w:b/>
          <w:iCs/>
          <w:sz w:val="24"/>
          <w:szCs w:val="24"/>
          <w:u w:val="single"/>
        </w:rPr>
        <w:t>Terms</w:t>
      </w:r>
    </w:p>
    <w:tbl>
      <w:tblPr>
        <w:tblStyle w:val="TableGrid"/>
        <w:tblW w:w="0" w:type="auto"/>
        <w:tblLook w:val="04A0" w:firstRow="1" w:lastRow="0" w:firstColumn="1" w:lastColumn="0" w:noHBand="0" w:noVBand="1"/>
      </w:tblPr>
      <w:tblGrid>
        <w:gridCol w:w="3760"/>
        <w:gridCol w:w="5590"/>
      </w:tblGrid>
      <w:tr w:rsidR="00A11157" w:rsidRPr="00A11157" w14:paraId="508B0C65" w14:textId="77777777" w:rsidTr="00CD52D6">
        <w:trPr>
          <w:trHeight w:val="288"/>
        </w:trPr>
        <w:tc>
          <w:tcPr>
            <w:tcW w:w="3760" w:type="dxa"/>
            <w:noWrap/>
            <w:hideMark/>
          </w:tcPr>
          <w:p w14:paraId="4DBEA467" w14:textId="77777777" w:rsidR="00A11157" w:rsidRPr="00A11157" w:rsidRDefault="00A11157">
            <w:pPr>
              <w:rPr>
                <w:b/>
                <w:bCs/>
                <w:iCs/>
              </w:rPr>
            </w:pPr>
            <w:r w:rsidRPr="00A11157">
              <w:rPr>
                <w:b/>
                <w:bCs/>
                <w:iCs/>
              </w:rPr>
              <w:t>TERM</w:t>
            </w:r>
          </w:p>
        </w:tc>
        <w:tc>
          <w:tcPr>
            <w:tcW w:w="5590" w:type="dxa"/>
            <w:hideMark/>
          </w:tcPr>
          <w:p w14:paraId="25B5F52A" w14:textId="77777777" w:rsidR="00A11157" w:rsidRPr="00A11157" w:rsidRDefault="00A11157">
            <w:pPr>
              <w:rPr>
                <w:b/>
                <w:bCs/>
                <w:iCs/>
              </w:rPr>
            </w:pPr>
            <w:r w:rsidRPr="00A11157">
              <w:rPr>
                <w:b/>
                <w:bCs/>
                <w:iCs/>
              </w:rPr>
              <w:t>DEFINITION</w:t>
            </w:r>
          </w:p>
        </w:tc>
      </w:tr>
      <w:tr w:rsidR="002A6B65" w:rsidRPr="00A11157" w14:paraId="2B881ECA" w14:textId="77777777" w:rsidTr="00CD52D6">
        <w:trPr>
          <w:trHeight w:val="576"/>
        </w:trPr>
        <w:tc>
          <w:tcPr>
            <w:tcW w:w="3760" w:type="dxa"/>
            <w:noWrap/>
          </w:tcPr>
          <w:p w14:paraId="1DA8685F" w14:textId="0C8804BD" w:rsidR="002A6B65" w:rsidRPr="00A11157" w:rsidRDefault="002A6B65">
            <w:pPr>
              <w:rPr>
                <w:iCs/>
              </w:rPr>
            </w:pPr>
            <w:r>
              <w:rPr>
                <w:iCs/>
              </w:rPr>
              <w:t>Augmented Dataset</w:t>
            </w:r>
          </w:p>
        </w:tc>
        <w:tc>
          <w:tcPr>
            <w:tcW w:w="5590" w:type="dxa"/>
          </w:tcPr>
          <w:p w14:paraId="60B8C5C6" w14:textId="43A8D27E" w:rsidR="002A6B65" w:rsidRPr="00A11157" w:rsidRDefault="002A6B65">
            <w:pPr>
              <w:rPr>
                <w:iCs/>
              </w:rPr>
            </w:pPr>
            <w:r>
              <w:rPr>
                <w:sz w:val="20"/>
                <w:szCs w:val="20"/>
              </w:rPr>
              <w:t>A</w:t>
            </w:r>
            <w:r>
              <w:rPr>
                <w:sz w:val="20"/>
                <w:szCs w:val="20"/>
              </w:rPr>
              <w:t xml:space="preserve"> dataset </w:t>
            </w:r>
            <w:r w:rsidRPr="00FB08FD">
              <w:rPr>
                <w:sz w:val="20"/>
                <w:szCs w:val="20"/>
              </w:rPr>
              <w:t>including</w:t>
            </w:r>
            <w:r>
              <w:rPr>
                <w:sz w:val="20"/>
                <w:szCs w:val="20"/>
              </w:rPr>
              <w:t xml:space="preserve"> study-acquired information augmented with</w:t>
            </w:r>
            <w:r w:rsidRPr="00FB08FD">
              <w:rPr>
                <w:sz w:val="20"/>
                <w:szCs w:val="20"/>
              </w:rPr>
              <w:t xml:space="preserve"> elements of the Data</w:t>
            </w:r>
            <w:r>
              <w:rPr>
                <w:sz w:val="20"/>
                <w:szCs w:val="20"/>
              </w:rPr>
              <w:t xml:space="preserve"> received from the Provider.</w:t>
            </w:r>
          </w:p>
        </w:tc>
      </w:tr>
      <w:tr w:rsidR="00A11157" w:rsidRPr="00A11157" w14:paraId="46040C8A" w14:textId="77777777" w:rsidTr="00CD52D6">
        <w:trPr>
          <w:trHeight w:val="576"/>
        </w:trPr>
        <w:tc>
          <w:tcPr>
            <w:tcW w:w="3760" w:type="dxa"/>
            <w:noWrap/>
            <w:hideMark/>
          </w:tcPr>
          <w:p w14:paraId="01676B1E" w14:textId="77777777" w:rsidR="00A11157" w:rsidRPr="00A11157" w:rsidRDefault="00A11157">
            <w:pPr>
              <w:rPr>
                <w:iCs/>
              </w:rPr>
            </w:pPr>
            <w:r w:rsidRPr="00A11157">
              <w:rPr>
                <w:iCs/>
              </w:rPr>
              <w:t xml:space="preserve">Authorized Officials </w:t>
            </w:r>
          </w:p>
        </w:tc>
        <w:tc>
          <w:tcPr>
            <w:tcW w:w="5590" w:type="dxa"/>
            <w:hideMark/>
          </w:tcPr>
          <w:p w14:paraId="77850B01" w14:textId="7CCE02D3" w:rsidR="00A11157" w:rsidRPr="00A11157" w:rsidRDefault="00A11157">
            <w:pPr>
              <w:rPr>
                <w:iCs/>
              </w:rPr>
            </w:pPr>
            <w:r w:rsidRPr="00A11157">
              <w:rPr>
                <w:iCs/>
              </w:rPr>
              <w:t xml:space="preserve">Individuals who are authorized by their respective institutions to sign agreements that legally bind their institutions; </w:t>
            </w:r>
            <w:proofErr w:type="gramStart"/>
            <w:r w:rsidRPr="00A11157">
              <w:rPr>
                <w:iCs/>
              </w:rPr>
              <w:t>typically</w:t>
            </w:r>
            <w:proofErr w:type="gramEnd"/>
            <w:r w:rsidRPr="00A11157">
              <w:rPr>
                <w:iCs/>
              </w:rPr>
              <w:t xml:space="preserve"> these people are located in central administration and are not the PIs</w:t>
            </w:r>
            <w:r w:rsidR="00014E1C">
              <w:rPr>
                <w:iCs/>
              </w:rPr>
              <w:t>.</w:t>
            </w:r>
          </w:p>
        </w:tc>
      </w:tr>
      <w:tr w:rsidR="00A11157" w:rsidRPr="00A11157" w14:paraId="2B2FB8C3" w14:textId="77777777" w:rsidTr="00CD52D6">
        <w:trPr>
          <w:trHeight w:val="576"/>
        </w:trPr>
        <w:tc>
          <w:tcPr>
            <w:tcW w:w="3760" w:type="dxa"/>
            <w:noWrap/>
            <w:hideMark/>
          </w:tcPr>
          <w:p w14:paraId="2461F429" w14:textId="77777777" w:rsidR="00A11157" w:rsidRPr="00A11157" w:rsidRDefault="00A11157">
            <w:pPr>
              <w:rPr>
                <w:iCs/>
              </w:rPr>
            </w:pPr>
            <w:r w:rsidRPr="00A11157">
              <w:rPr>
                <w:iCs/>
              </w:rPr>
              <w:t>Data</w:t>
            </w:r>
          </w:p>
        </w:tc>
        <w:tc>
          <w:tcPr>
            <w:tcW w:w="5590" w:type="dxa"/>
            <w:hideMark/>
          </w:tcPr>
          <w:p w14:paraId="5CE07D31" w14:textId="675B9E74" w:rsidR="00A11157" w:rsidRPr="00A11157" w:rsidRDefault="00A11157">
            <w:pPr>
              <w:rPr>
                <w:iCs/>
              </w:rPr>
            </w:pPr>
            <w:r w:rsidRPr="00A11157">
              <w:rPr>
                <w:iCs/>
              </w:rPr>
              <w:t>A defined term in the DUA</w:t>
            </w:r>
            <w:r w:rsidR="009F15C9">
              <w:rPr>
                <w:iCs/>
              </w:rPr>
              <w:t xml:space="preserve"> which </w:t>
            </w:r>
            <w:r w:rsidRPr="00A11157">
              <w:rPr>
                <w:iCs/>
              </w:rPr>
              <w:t xml:space="preserve">refers to the </w:t>
            </w:r>
            <w:r w:rsidR="00813347">
              <w:rPr>
                <w:iCs/>
              </w:rPr>
              <w:t>information in the dataset</w:t>
            </w:r>
            <w:r w:rsidRPr="00A11157">
              <w:rPr>
                <w:iCs/>
              </w:rPr>
              <w:t xml:space="preserve"> </w:t>
            </w:r>
            <w:r w:rsidR="009F15C9">
              <w:rPr>
                <w:iCs/>
              </w:rPr>
              <w:t>released</w:t>
            </w:r>
            <w:r w:rsidR="009F15C9" w:rsidRPr="00A11157">
              <w:rPr>
                <w:iCs/>
              </w:rPr>
              <w:t xml:space="preserve"> </w:t>
            </w:r>
            <w:r w:rsidRPr="00A11157">
              <w:rPr>
                <w:iCs/>
              </w:rPr>
              <w:t xml:space="preserve">by the </w:t>
            </w:r>
            <w:r w:rsidR="009F15C9">
              <w:rPr>
                <w:iCs/>
              </w:rPr>
              <w:t xml:space="preserve">Provider </w:t>
            </w:r>
            <w:r w:rsidRPr="00A11157">
              <w:rPr>
                <w:iCs/>
              </w:rPr>
              <w:t>Registry to the Recipient</w:t>
            </w:r>
            <w:r w:rsidR="009F15C9">
              <w:rPr>
                <w:iCs/>
              </w:rPr>
              <w:t xml:space="preserve"> as described in Attachment 1, Item 3</w:t>
            </w:r>
            <w:r w:rsidRPr="00A11157">
              <w:rPr>
                <w:iCs/>
              </w:rPr>
              <w:t xml:space="preserve">. </w:t>
            </w:r>
          </w:p>
        </w:tc>
      </w:tr>
      <w:tr w:rsidR="00A11157" w:rsidRPr="00A11157" w14:paraId="31ED5251" w14:textId="77777777" w:rsidTr="00CD52D6">
        <w:trPr>
          <w:trHeight w:val="864"/>
        </w:trPr>
        <w:tc>
          <w:tcPr>
            <w:tcW w:w="3760" w:type="dxa"/>
            <w:noWrap/>
            <w:hideMark/>
          </w:tcPr>
          <w:p w14:paraId="60CFE342" w14:textId="77777777" w:rsidR="00A11157" w:rsidRPr="00A11157" w:rsidRDefault="00A11157">
            <w:pPr>
              <w:rPr>
                <w:iCs/>
              </w:rPr>
            </w:pPr>
            <w:r w:rsidRPr="00A11157">
              <w:rPr>
                <w:iCs/>
              </w:rPr>
              <w:t>Data Breach</w:t>
            </w:r>
          </w:p>
        </w:tc>
        <w:tc>
          <w:tcPr>
            <w:tcW w:w="5590" w:type="dxa"/>
            <w:hideMark/>
          </w:tcPr>
          <w:p w14:paraId="224E53B0" w14:textId="77777777" w:rsidR="00A11157" w:rsidRPr="00A11157" w:rsidRDefault="00A11157">
            <w:pPr>
              <w:rPr>
                <w:iCs/>
              </w:rPr>
            </w:pPr>
            <w:r w:rsidRPr="00A11157">
              <w:rPr>
                <w:iCs/>
              </w:rPr>
              <w:t>Unauthorized acquisition and/or loss of custody and control of data that compromises the security, confidentiality, or integrity of personal or other information maintained by the institution; an impermissible use or disclosure under the DUA or any applicable law or regulation.</w:t>
            </w:r>
          </w:p>
        </w:tc>
      </w:tr>
      <w:tr w:rsidR="00CD52D6" w:rsidRPr="00A11157" w14:paraId="75D086CD" w14:textId="77777777" w:rsidTr="00CD52D6">
        <w:trPr>
          <w:trHeight w:val="576"/>
        </w:trPr>
        <w:tc>
          <w:tcPr>
            <w:tcW w:w="3760" w:type="dxa"/>
            <w:noWrap/>
          </w:tcPr>
          <w:p w14:paraId="2CE5E9BF" w14:textId="63AD5D16" w:rsidR="00CD52D6" w:rsidRPr="00A11157" w:rsidRDefault="00CD52D6" w:rsidP="00CD52D6">
            <w:pPr>
              <w:rPr>
                <w:iCs/>
              </w:rPr>
            </w:pPr>
            <w:r w:rsidRPr="00A11157">
              <w:rPr>
                <w:iCs/>
              </w:rPr>
              <w:t>Data Linkage (linked data)</w:t>
            </w:r>
          </w:p>
        </w:tc>
        <w:tc>
          <w:tcPr>
            <w:tcW w:w="5590" w:type="dxa"/>
          </w:tcPr>
          <w:p w14:paraId="0B451F5A" w14:textId="0CD8F102" w:rsidR="00CD52D6" w:rsidRPr="00A11157" w:rsidRDefault="00CD52D6" w:rsidP="00CD52D6">
            <w:pPr>
              <w:rPr>
                <w:iCs/>
              </w:rPr>
            </w:pPr>
            <w:r w:rsidRPr="00A11157">
              <w:rPr>
                <w:iCs/>
              </w:rPr>
              <w:t xml:space="preserve">A method of exposing, sharing, and connecting data from different sources, or (sometimes) the data itself that is </w:t>
            </w:r>
            <w:r w:rsidRPr="00A11157">
              <w:rPr>
                <w:iCs/>
              </w:rPr>
              <w:lastRenderedPageBreak/>
              <w:t xml:space="preserve">connected or aggregated </w:t>
            </w:r>
            <w:proofErr w:type="gramStart"/>
            <w:r w:rsidRPr="00A11157">
              <w:rPr>
                <w:iCs/>
              </w:rPr>
              <w:t>so as to</w:t>
            </w:r>
            <w:proofErr w:type="gramEnd"/>
            <w:r w:rsidRPr="00A11157">
              <w:rPr>
                <w:iCs/>
              </w:rPr>
              <w:t xml:space="preserve"> access or provide more information.</w:t>
            </w:r>
          </w:p>
        </w:tc>
      </w:tr>
      <w:tr w:rsidR="00CD52D6" w:rsidRPr="00A11157" w14:paraId="5EE8205A" w14:textId="77777777" w:rsidTr="00CD52D6">
        <w:trPr>
          <w:trHeight w:val="576"/>
        </w:trPr>
        <w:tc>
          <w:tcPr>
            <w:tcW w:w="3760" w:type="dxa"/>
            <w:noWrap/>
            <w:hideMark/>
          </w:tcPr>
          <w:p w14:paraId="787BBCEC" w14:textId="77777777" w:rsidR="00CD52D6" w:rsidRPr="00A11157" w:rsidRDefault="00CD52D6" w:rsidP="00CD52D6">
            <w:pPr>
              <w:rPr>
                <w:iCs/>
              </w:rPr>
            </w:pPr>
            <w:r w:rsidRPr="00A11157">
              <w:rPr>
                <w:iCs/>
              </w:rPr>
              <w:lastRenderedPageBreak/>
              <w:t>Honest broker</w:t>
            </w:r>
          </w:p>
        </w:tc>
        <w:tc>
          <w:tcPr>
            <w:tcW w:w="5590" w:type="dxa"/>
            <w:hideMark/>
          </w:tcPr>
          <w:p w14:paraId="3E0B9F39" w14:textId="77777777" w:rsidR="00CD52D6" w:rsidRPr="00A11157" w:rsidRDefault="00CD52D6" w:rsidP="00CD52D6">
            <w:pPr>
              <w:rPr>
                <w:iCs/>
              </w:rPr>
            </w:pPr>
            <w:r w:rsidRPr="00A11157">
              <w:rPr>
                <w:iCs/>
              </w:rPr>
              <w:t>An entity that keeps sets of private information but distributes parts of those sets, as authorized, to other entities who should not have access to the entire set.</w:t>
            </w:r>
          </w:p>
        </w:tc>
      </w:tr>
      <w:tr w:rsidR="00CD52D6" w:rsidRPr="00A11157" w14:paraId="7B614DDE" w14:textId="77777777" w:rsidTr="00CD52D6">
        <w:trPr>
          <w:trHeight w:val="576"/>
        </w:trPr>
        <w:tc>
          <w:tcPr>
            <w:tcW w:w="3760" w:type="dxa"/>
            <w:noWrap/>
            <w:hideMark/>
          </w:tcPr>
          <w:p w14:paraId="0A2E03F3" w14:textId="77777777" w:rsidR="00CD52D6" w:rsidRPr="00A11157" w:rsidRDefault="00CD52D6" w:rsidP="00CD52D6">
            <w:pPr>
              <w:rPr>
                <w:iCs/>
              </w:rPr>
            </w:pPr>
            <w:r w:rsidRPr="00A11157">
              <w:rPr>
                <w:iCs/>
              </w:rPr>
              <w:t>IRB Review Determination</w:t>
            </w:r>
          </w:p>
        </w:tc>
        <w:tc>
          <w:tcPr>
            <w:tcW w:w="5590" w:type="dxa"/>
            <w:hideMark/>
          </w:tcPr>
          <w:p w14:paraId="225A404B" w14:textId="62C71875" w:rsidR="00CD52D6" w:rsidRPr="00A11157" w:rsidRDefault="00CD52D6" w:rsidP="00CD52D6">
            <w:pPr>
              <w:rPr>
                <w:iCs/>
              </w:rPr>
            </w:pPr>
            <w:r w:rsidRPr="00A11157">
              <w:rPr>
                <w:iCs/>
              </w:rPr>
              <w:t xml:space="preserve">Various levels of oversight provided by an IRB: Human Subjects Research; IRB exempt status; Not human </w:t>
            </w:r>
            <w:proofErr w:type="gramStart"/>
            <w:r w:rsidRPr="00A11157">
              <w:rPr>
                <w:iCs/>
              </w:rPr>
              <w:t>subjects</w:t>
            </w:r>
            <w:proofErr w:type="gramEnd"/>
            <w:r w:rsidRPr="00A11157">
              <w:rPr>
                <w:iCs/>
              </w:rPr>
              <w:t xml:space="preserve"> research</w:t>
            </w:r>
            <w:r w:rsidR="00813347">
              <w:rPr>
                <w:iCs/>
              </w:rPr>
              <w:t>.</w:t>
            </w:r>
          </w:p>
        </w:tc>
      </w:tr>
      <w:tr w:rsidR="00CD52D6" w:rsidRPr="00A11157" w14:paraId="0B80C423" w14:textId="77777777" w:rsidTr="00CD52D6">
        <w:trPr>
          <w:trHeight w:val="576"/>
        </w:trPr>
        <w:tc>
          <w:tcPr>
            <w:tcW w:w="3760" w:type="dxa"/>
            <w:noWrap/>
          </w:tcPr>
          <w:p w14:paraId="463463CA" w14:textId="72A1091C" w:rsidR="00CD52D6" w:rsidRPr="00A11157" w:rsidRDefault="00CD52D6" w:rsidP="00CD52D6">
            <w:pPr>
              <w:rPr>
                <w:iCs/>
              </w:rPr>
            </w:pPr>
            <w:r w:rsidRPr="00A11157">
              <w:rPr>
                <w:iCs/>
              </w:rPr>
              <w:t>Personally Identifiable Information (PII)</w:t>
            </w:r>
          </w:p>
        </w:tc>
        <w:tc>
          <w:tcPr>
            <w:tcW w:w="5590" w:type="dxa"/>
          </w:tcPr>
          <w:p w14:paraId="62E5231C" w14:textId="26E770EF" w:rsidR="00CD52D6" w:rsidRPr="00A11157" w:rsidRDefault="00CD52D6" w:rsidP="00CD52D6">
            <w:pPr>
              <w:rPr>
                <w:iCs/>
              </w:rPr>
            </w:pPr>
            <w:r w:rsidRPr="00A11157">
              <w:rPr>
                <w:iCs/>
              </w:rPr>
              <w:t>Any information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employment information, or specific dates, such as diagnosis or treatment.  PII is necessary for a successful data linkage.  When allowing access to PII care should be taken that the data or combination of data elements when linked (</w:t>
            </w:r>
            <w:proofErr w:type="gramStart"/>
            <w:r w:rsidRPr="00A11157">
              <w:rPr>
                <w:iCs/>
              </w:rPr>
              <w:t>i.e.</w:t>
            </w:r>
            <w:proofErr w:type="gramEnd"/>
            <w:r w:rsidRPr="00A11157">
              <w:rPr>
                <w:iCs/>
              </w:rPr>
              <w:t xml:space="preserve"> taken in combination) do not allow the individual to be distinguished or traced.  A list of direct identifiers is defined by HIPAA.</w:t>
            </w:r>
          </w:p>
        </w:tc>
      </w:tr>
      <w:tr w:rsidR="00CD52D6" w:rsidRPr="00A11157" w14:paraId="14D6564C" w14:textId="77777777" w:rsidTr="00CD52D6">
        <w:trPr>
          <w:trHeight w:val="576"/>
        </w:trPr>
        <w:tc>
          <w:tcPr>
            <w:tcW w:w="3760" w:type="dxa"/>
            <w:noWrap/>
          </w:tcPr>
          <w:p w14:paraId="24B908EE" w14:textId="4531C61C" w:rsidR="00CD52D6" w:rsidRPr="00A11157" w:rsidRDefault="00CD52D6" w:rsidP="00CD52D6">
            <w:pPr>
              <w:rPr>
                <w:iCs/>
              </w:rPr>
            </w:pPr>
            <w:r w:rsidRPr="00A11157">
              <w:rPr>
                <w:iCs/>
              </w:rPr>
              <w:t>Protocol, IRB-Approved Protocol</w:t>
            </w:r>
          </w:p>
        </w:tc>
        <w:tc>
          <w:tcPr>
            <w:tcW w:w="5590" w:type="dxa"/>
          </w:tcPr>
          <w:p w14:paraId="69985A8A" w14:textId="218A0B65" w:rsidR="00CD52D6" w:rsidRPr="00A11157" w:rsidRDefault="00CD52D6" w:rsidP="00CD52D6">
            <w:pPr>
              <w:rPr>
                <w:iCs/>
              </w:rPr>
            </w:pPr>
            <w:r w:rsidRPr="00A11157">
              <w:rPr>
                <w:iCs/>
              </w:rPr>
              <w:t>A document that describes the objective(s), design, methodology, statistical considerations, and organization of a study. In the VPR DUA, the Protocol is referred to as the IRB-Approved Protocol regardless of the Protocol's IRB status.</w:t>
            </w:r>
          </w:p>
        </w:tc>
      </w:tr>
      <w:tr w:rsidR="00CD52D6" w:rsidRPr="00A11157" w14:paraId="049775F7" w14:textId="77777777" w:rsidTr="00CD52D6">
        <w:trPr>
          <w:trHeight w:val="576"/>
        </w:trPr>
        <w:tc>
          <w:tcPr>
            <w:tcW w:w="3760" w:type="dxa"/>
            <w:noWrap/>
            <w:hideMark/>
          </w:tcPr>
          <w:p w14:paraId="5EF52892" w14:textId="77777777" w:rsidR="00CD52D6" w:rsidRPr="00A11157" w:rsidRDefault="00CD52D6" w:rsidP="00CD52D6">
            <w:pPr>
              <w:rPr>
                <w:iCs/>
              </w:rPr>
            </w:pPr>
            <w:r w:rsidRPr="00A11157">
              <w:rPr>
                <w:iCs/>
              </w:rPr>
              <w:t>Provider Registry (Provider)</w:t>
            </w:r>
          </w:p>
        </w:tc>
        <w:tc>
          <w:tcPr>
            <w:tcW w:w="5590" w:type="dxa"/>
            <w:hideMark/>
          </w:tcPr>
          <w:p w14:paraId="7E224AAB" w14:textId="77777777" w:rsidR="00CD52D6" w:rsidRPr="00A11157" w:rsidRDefault="00CD52D6" w:rsidP="00CD52D6">
            <w:pPr>
              <w:rPr>
                <w:iCs/>
              </w:rPr>
            </w:pPr>
            <w:r w:rsidRPr="00A11157">
              <w:rPr>
                <w:iCs/>
              </w:rPr>
              <w:t>This is the organization that acts as the public health registry collecting cancer data, and providing the Data to the Recipient Institution</w:t>
            </w:r>
          </w:p>
        </w:tc>
      </w:tr>
      <w:tr w:rsidR="00CD52D6" w:rsidRPr="00A11157" w14:paraId="55B9C18C" w14:textId="77777777" w:rsidTr="00CD52D6">
        <w:trPr>
          <w:trHeight w:val="288"/>
        </w:trPr>
        <w:tc>
          <w:tcPr>
            <w:tcW w:w="3760" w:type="dxa"/>
            <w:noWrap/>
            <w:hideMark/>
          </w:tcPr>
          <w:p w14:paraId="41953150" w14:textId="77777777" w:rsidR="00CD52D6" w:rsidRPr="00A11157" w:rsidRDefault="00CD52D6" w:rsidP="00CD52D6">
            <w:pPr>
              <w:rPr>
                <w:iCs/>
              </w:rPr>
            </w:pPr>
            <w:r w:rsidRPr="00A11157">
              <w:rPr>
                <w:iCs/>
              </w:rPr>
              <w:t>Provider Scientist</w:t>
            </w:r>
          </w:p>
        </w:tc>
        <w:tc>
          <w:tcPr>
            <w:tcW w:w="5590" w:type="dxa"/>
            <w:hideMark/>
          </w:tcPr>
          <w:p w14:paraId="1391A6D4" w14:textId="77777777" w:rsidR="00CD52D6" w:rsidRPr="00A11157" w:rsidRDefault="00CD52D6" w:rsidP="00CD52D6">
            <w:pPr>
              <w:rPr>
                <w:iCs/>
              </w:rPr>
            </w:pPr>
            <w:proofErr w:type="gramStart"/>
            <w:r w:rsidRPr="00A11157">
              <w:rPr>
                <w:iCs/>
              </w:rPr>
              <w:t>Usually</w:t>
            </w:r>
            <w:proofErr w:type="gramEnd"/>
            <w:r w:rsidRPr="00A11157">
              <w:rPr>
                <w:iCs/>
              </w:rPr>
              <w:t xml:space="preserve"> a Registry Director or their delegate.</w:t>
            </w:r>
          </w:p>
        </w:tc>
      </w:tr>
      <w:tr w:rsidR="00CD52D6" w:rsidRPr="00A11157" w14:paraId="4E0DDEAE" w14:textId="77777777" w:rsidTr="00CD52D6">
        <w:trPr>
          <w:trHeight w:val="288"/>
        </w:trPr>
        <w:tc>
          <w:tcPr>
            <w:tcW w:w="3760" w:type="dxa"/>
            <w:noWrap/>
            <w:hideMark/>
          </w:tcPr>
          <w:p w14:paraId="5242E9FB" w14:textId="77777777" w:rsidR="00CD52D6" w:rsidRPr="00A11157" w:rsidRDefault="00CD52D6" w:rsidP="00CD52D6">
            <w:pPr>
              <w:rPr>
                <w:iCs/>
              </w:rPr>
            </w:pPr>
            <w:r w:rsidRPr="00A11157">
              <w:rPr>
                <w:iCs/>
              </w:rPr>
              <w:t>Recipient Institution (Recipient)</w:t>
            </w:r>
          </w:p>
        </w:tc>
        <w:tc>
          <w:tcPr>
            <w:tcW w:w="5590" w:type="dxa"/>
            <w:hideMark/>
          </w:tcPr>
          <w:p w14:paraId="6C171F04" w14:textId="77777777" w:rsidR="00CD52D6" w:rsidRPr="00A11157" w:rsidRDefault="00CD52D6" w:rsidP="00CD52D6">
            <w:pPr>
              <w:rPr>
                <w:iCs/>
              </w:rPr>
            </w:pPr>
            <w:r w:rsidRPr="00A11157">
              <w:rPr>
                <w:iCs/>
              </w:rPr>
              <w:t>The organization employing the Recipient Scientist.</w:t>
            </w:r>
          </w:p>
        </w:tc>
      </w:tr>
      <w:tr w:rsidR="00CD52D6" w:rsidRPr="00A11157" w14:paraId="24E71424" w14:textId="77777777" w:rsidTr="00CD52D6">
        <w:trPr>
          <w:trHeight w:val="1152"/>
        </w:trPr>
        <w:tc>
          <w:tcPr>
            <w:tcW w:w="3760" w:type="dxa"/>
            <w:noWrap/>
            <w:hideMark/>
          </w:tcPr>
          <w:p w14:paraId="0524875D" w14:textId="77777777" w:rsidR="00CD52D6" w:rsidRPr="00A11157" w:rsidRDefault="00CD52D6" w:rsidP="00CD52D6">
            <w:pPr>
              <w:rPr>
                <w:iCs/>
              </w:rPr>
            </w:pPr>
            <w:r w:rsidRPr="00A11157">
              <w:rPr>
                <w:iCs/>
              </w:rPr>
              <w:t>Recipient Institution FWA#</w:t>
            </w:r>
          </w:p>
        </w:tc>
        <w:tc>
          <w:tcPr>
            <w:tcW w:w="5590" w:type="dxa"/>
            <w:hideMark/>
          </w:tcPr>
          <w:p w14:paraId="6569BF91" w14:textId="72DFBE48" w:rsidR="00CD52D6" w:rsidRPr="00A11157" w:rsidRDefault="00CD52D6" w:rsidP="00CD52D6">
            <w:pPr>
              <w:rPr>
                <w:iCs/>
              </w:rPr>
            </w:pPr>
            <w:proofErr w:type="spellStart"/>
            <w:r w:rsidRPr="00A11157">
              <w:rPr>
                <w:iCs/>
              </w:rPr>
              <w:t>Federalwide</w:t>
            </w:r>
            <w:proofErr w:type="spellEnd"/>
            <w:r w:rsidRPr="00A11157">
              <w:rPr>
                <w:iCs/>
              </w:rPr>
              <w:t xml:space="preserve"> Assurance (FWA) number, this references the specific authorization held by the IRB of an institution which permits them to oversee human </w:t>
            </w:r>
            <w:proofErr w:type="gramStart"/>
            <w:r w:rsidRPr="00A11157">
              <w:rPr>
                <w:iCs/>
              </w:rPr>
              <w:t>subjects</w:t>
            </w:r>
            <w:proofErr w:type="gramEnd"/>
            <w:r w:rsidRPr="00A11157">
              <w:rPr>
                <w:iCs/>
              </w:rPr>
              <w:t xml:space="preserve"> research. A FWA is searchable at: </w:t>
            </w:r>
            <w:hyperlink r:id="rId6" w:history="1">
              <w:r w:rsidRPr="00DE7592">
                <w:rPr>
                  <w:rStyle w:val="Hyperlink"/>
                  <w:iCs/>
                </w:rPr>
                <w:t>https://ohrp.cit.nih.gov/search/fwasearch.aspx?styp=bsc</w:t>
              </w:r>
            </w:hyperlink>
            <w:r>
              <w:rPr>
                <w:iCs/>
              </w:rPr>
              <w:t xml:space="preserve"> </w:t>
            </w:r>
            <w:r w:rsidRPr="00A11157">
              <w:rPr>
                <w:iCs/>
              </w:rPr>
              <w:t xml:space="preserve"> </w:t>
            </w:r>
            <w:r>
              <w:rPr>
                <w:iCs/>
              </w:rPr>
              <w:t xml:space="preserve"> </w:t>
            </w:r>
            <w:r w:rsidRPr="00A11157">
              <w:rPr>
                <w:iCs/>
              </w:rPr>
              <w:t xml:space="preserve"> </w:t>
            </w:r>
          </w:p>
        </w:tc>
      </w:tr>
      <w:tr w:rsidR="00CD52D6" w:rsidRPr="00A11157" w14:paraId="1DBADEA3" w14:textId="77777777" w:rsidTr="00CD52D6">
        <w:trPr>
          <w:trHeight w:val="288"/>
        </w:trPr>
        <w:tc>
          <w:tcPr>
            <w:tcW w:w="3760" w:type="dxa"/>
            <w:noWrap/>
            <w:hideMark/>
          </w:tcPr>
          <w:p w14:paraId="4FFC6339" w14:textId="77777777" w:rsidR="00CD52D6" w:rsidRPr="00A11157" w:rsidRDefault="00CD52D6" w:rsidP="00CD52D6">
            <w:pPr>
              <w:rPr>
                <w:iCs/>
              </w:rPr>
            </w:pPr>
            <w:r w:rsidRPr="00A11157">
              <w:rPr>
                <w:iCs/>
              </w:rPr>
              <w:t>Recipient Scientist</w:t>
            </w:r>
          </w:p>
        </w:tc>
        <w:tc>
          <w:tcPr>
            <w:tcW w:w="5590" w:type="dxa"/>
            <w:hideMark/>
          </w:tcPr>
          <w:p w14:paraId="207759C0" w14:textId="77777777" w:rsidR="00CD52D6" w:rsidRPr="00A11157" w:rsidRDefault="00CD52D6" w:rsidP="00CD52D6">
            <w:pPr>
              <w:rPr>
                <w:iCs/>
              </w:rPr>
            </w:pPr>
            <w:r w:rsidRPr="00A11157">
              <w:rPr>
                <w:iCs/>
              </w:rPr>
              <w:t>The researcher receiving the Data, who acts as the Principal Investigator at Recipient Institution.</w:t>
            </w:r>
          </w:p>
        </w:tc>
      </w:tr>
      <w:tr w:rsidR="00CD52D6" w:rsidRPr="00A11157" w14:paraId="43A021BD" w14:textId="77777777" w:rsidTr="00CD52D6">
        <w:trPr>
          <w:trHeight w:val="1152"/>
        </w:trPr>
        <w:tc>
          <w:tcPr>
            <w:tcW w:w="3760" w:type="dxa"/>
            <w:noWrap/>
            <w:hideMark/>
          </w:tcPr>
          <w:p w14:paraId="4C74D320" w14:textId="77777777" w:rsidR="00CD52D6" w:rsidRPr="00A11157" w:rsidRDefault="00CD52D6" w:rsidP="00CD52D6">
            <w:pPr>
              <w:rPr>
                <w:iCs/>
              </w:rPr>
            </w:pPr>
            <w:r w:rsidRPr="00A11157">
              <w:rPr>
                <w:iCs/>
              </w:rPr>
              <w:t>Record Retention</w:t>
            </w:r>
          </w:p>
        </w:tc>
        <w:tc>
          <w:tcPr>
            <w:tcW w:w="5590" w:type="dxa"/>
            <w:hideMark/>
          </w:tcPr>
          <w:p w14:paraId="38D44D24" w14:textId="77777777" w:rsidR="00CD52D6" w:rsidRPr="00A11157" w:rsidRDefault="00CD52D6" w:rsidP="00CD52D6">
            <w:pPr>
              <w:rPr>
                <w:iCs/>
              </w:rPr>
            </w:pPr>
            <w:r w:rsidRPr="00A11157">
              <w:rPr>
                <w:iCs/>
              </w:rPr>
              <w:t xml:space="preserve">The </w:t>
            </w:r>
            <w:proofErr w:type="gramStart"/>
            <w:r w:rsidRPr="00A11157">
              <w:rPr>
                <w:iCs/>
              </w:rPr>
              <w:t>period of time</w:t>
            </w:r>
            <w:proofErr w:type="gramEnd"/>
            <w:r w:rsidRPr="00A11157">
              <w:rPr>
                <w:iCs/>
              </w:rPr>
              <w:t xml:space="preserve"> a document(s) or data should be kept or retained, whether in electronic format or physical format. Record Retention period usually depends on the record type and the business, legal and compliance requirements associated with the record. Record Retention periods may be determined by both federal and state law.</w:t>
            </w:r>
          </w:p>
        </w:tc>
      </w:tr>
      <w:tr w:rsidR="00CD52D6" w:rsidRPr="00A11157" w14:paraId="1E722F40" w14:textId="77777777" w:rsidTr="00CD52D6">
        <w:trPr>
          <w:trHeight w:val="576"/>
        </w:trPr>
        <w:tc>
          <w:tcPr>
            <w:tcW w:w="3760" w:type="dxa"/>
            <w:noWrap/>
            <w:hideMark/>
          </w:tcPr>
          <w:p w14:paraId="713B2A52" w14:textId="77777777" w:rsidR="00CD52D6" w:rsidRPr="00A11157" w:rsidRDefault="00CD52D6" w:rsidP="00CD52D6">
            <w:pPr>
              <w:rPr>
                <w:iCs/>
              </w:rPr>
            </w:pPr>
            <w:r w:rsidRPr="00A11157">
              <w:rPr>
                <w:iCs/>
              </w:rPr>
              <w:t>Re-identification</w:t>
            </w:r>
          </w:p>
        </w:tc>
        <w:tc>
          <w:tcPr>
            <w:tcW w:w="5590" w:type="dxa"/>
            <w:hideMark/>
          </w:tcPr>
          <w:p w14:paraId="05D383C1" w14:textId="77777777" w:rsidR="00CD52D6" w:rsidRPr="00A11157" w:rsidRDefault="00CD52D6" w:rsidP="00CD52D6">
            <w:pPr>
              <w:rPr>
                <w:iCs/>
              </w:rPr>
            </w:pPr>
            <w:r w:rsidRPr="00A11157">
              <w:rPr>
                <w:iCs/>
              </w:rPr>
              <w:t>Re-identification is the process of attempting to discern the identities that have been removed from de-identified data.</w:t>
            </w:r>
          </w:p>
        </w:tc>
      </w:tr>
      <w:tr w:rsidR="00CD52D6" w:rsidRPr="00A11157" w14:paraId="784C90AD" w14:textId="77777777" w:rsidTr="00CD52D6">
        <w:trPr>
          <w:trHeight w:val="864"/>
        </w:trPr>
        <w:tc>
          <w:tcPr>
            <w:tcW w:w="3760" w:type="dxa"/>
            <w:noWrap/>
            <w:hideMark/>
          </w:tcPr>
          <w:p w14:paraId="1D8B5D34" w14:textId="77777777" w:rsidR="00CD52D6" w:rsidRPr="00A11157" w:rsidRDefault="00CD52D6" w:rsidP="00CD52D6">
            <w:pPr>
              <w:rPr>
                <w:iCs/>
              </w:rPr>
            </w:pPr>
            <w:r w:rsidRPr="00A11157">
              <w:rPr>
                <w:iCs/>
              </w:rPr>
              <w:lastRenderedPageBreak/>
              <w:t>Research</w:t>
            </w:r>
          </w:p>
        </w:tc>
        <w:tc>
          <w:tcPr>
            <w:tcW w:w="5590" w:type="dxa"/>
            <w:hideMark/>
          </w:tcPr>
          <w:p w14:paraId="06835B27" w14:textId="77777777" w:rsidR="00CD52D6" w:rsidRPr="00A11157" w:rsidRDefault="00CD52D6" w:rsidP="00CD52D6">
            <w:pPr>
              <w:rPr>
                <w:iCs/>
              </w:rPr>
            </w:pPr>
            <w:r w:rsidRPr="00A11157">
              <w:rPr>
                <w:iCs/>
              </w:rPr>
              <w:t>A systematic investigation, study or experiment designed to develop or contribute to generalizable knowledge. The term encompasses basic and applied research (e.g., a published article, book, or book chapter) and product development (e.g., a diagnostic test or drug).</w:t>
            </w:r>
          </w:p>
        </w:tc>
      </w:tr>
      <w:tr w:rsidR="002A6B65" w:rsidRPr="00A11157" w14:paraId="7377AF72" w14:textId="77777777" w:rsidTr="00CD52D6">
        <w:trPr>
          <w:trHeight w:val="864"/>
        </w:trPr>
        <w:tc>
          <w:tcPr>
            <w:tcW w:w="3760" w:type="dxa"/>
            <w:noWrap/>
          </w:tcPr>
          <w:p w14:paraId="4BDAD589" w14:textId="494F9AF1" w:rsidR="002A6B65" w:rsidRPr="00A11157" w:rsidRDefault="002A6B65" w:rsidP="00CD52D6">
            <w:pPr>
              <w:rPr>
                <w:iCs/>
              </w:rPr>
            </w:pPr>
            <w:r>
              <w:rPr>
                <w:iCs/>
              </w:rPr>
              <w:t>Secondary Recipients</w:t>
            </w:r>
          </w:p>
        </w:tc>
        <w:tc>
          <w:tcPr>
            <w:tcW w:w="5590" w:type="dxa"/>
          </w:tcPr>
          <w:p w14:paraId="253EC0D0" w14:textId="381AD669" w:rsidR="002A6B65" w:rsidRPr="00A11157" w:rsidRDefault="002A6B65" w:rsidP="00CD52D6">
            <w:pPr>
              <w:rPr>
                <w:iCs/>
              </w:rPr>
            </w:pPr>
            <w:r>
              <w:rPr>
                <w:iCs/>
              </w:rPr>
              <w:t>Organizations/individuals</w:t>
            </w:r>
            <w:r w:rsidR="00BB5581">
              <w:rPr>
                <w:iCs/>
              </w:rPr>
              <w:t xml:space="preserve"> (not listed in Term 9)</w:t>
            </w:r>
            <w:r>
              <w:rPr>
                <w:iCs/>
              </w:rPr>
              <w:t xml:space="preserve"> </w:t>
            </w:r>
            <w:r w:rsidR="00BB5581">
              <w:rPr>
                <w:iCs/>
              </w:rPr>
              <w:t xml:space="preserve">with whom the Recipient further shares an Augmented Dataset </w:t>
            </w:r>
            <w:r w:rsidR="00BB5581" w:rsidRPr="00BB5581">
              <w:rPr>
                <w:iCs/>
              </w:rPr>
              <w:t xml:space="preserve">in a </w:t>
            </w:r>
            <w:r w:rsidR="00BB5581">
              <w:rPr>
                <w:iCs/>
              </w:rPr>
              <w:t>manner</w:t>
            </w:r>
            <w:r w:rsidR="00BB5581" w:rsidRPr="00BB5581">
              <w:rPr>
                <w:iCs/>
              </w:rPr>
              <w:t xml:space="preserve"> that complies with Term 14 of the VPR </w:t>
            </w:r>
            <w:r w:rsidR="00BB5581">
              <w:rPr>
                <w:iCs/>
              </w:rPr>
              <w:t>DUA.</w:t>
            </w:r>
          </w:p>
        </w:tc>
      </w:tr>
    </w:tbl>
    <w:p w14:paraId="008BA363" w14:textId="77777777" w:rsidR="00CD35FA" w:rsidRDefault="00CD35FA" w:rsidP="003228BB"/>
    <w:sectPr w:rsidR="00CD3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107"/>
    <w:multiLevelType w:val="hybridMultilevel"/>
    <w:tmpl w:val="37A8B6B0"/>
    <w:lvl w:ilvl="0" w:tplc="8AEAA5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3D10"/>
    <w:multiLevelType w:val="hybridMultilevel"/>
    <w:tmpl w:val="ACFCE6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9454EB"/>
    <w:multiLevelType w:val="hybridMultilevel"/>
    <w:tmpl w:val="223EF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E04C5B"/>
    <w:multiLevelType w:val="hybridMultilevel"/>
    <w:tmpl w:val="DF80D2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4441E03"/>
    <w:multiLevelType w:val="hybridMultilevel"/>
    <w:tmpl w:val="A936F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4222A"/>
    <w:multiLevelType w:val="hybridMultilevel"/>
    <w:tmpl w:val="0A188E12"/>
    <w:lvl w:ilvl="0" w:tplc="FFFFFFF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BE7F0A"/>
    <w:multiLevelType w:val="hybridMultilevel"/>
    <w:tmpl w:val="BC26945E"/>
    <w:lvl w:ilvl="0" w:tplc="141E49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F0334"/>
    <w:multiLevelType w:val="hybridMultilevel"/>
    <w:tmpl w:val="B4EC6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9480419">
    <w:abstractNumId w:val="4"/>
  </w:num>
  <w:num w:numId="2" w16cid:durableId="1964770063">
    <w:abstractNumId w:val="1"/>
  </w:num>
  <w:num w:numId="3" w16cid:durableId="1705982885">
    <w:abstractNumId w:val="0"/>
  </w:num>
  <w:num w:numId="4" w16cid:durableId="1733501722">
    <w:abstractNumId w:val="2"/>
  </w:num>
  <w:num w:numId="5" w16cid:durableId="2088184050">
    <w:abstractNumId w:val="7"/>
  </w:num>
  <w:num w:numId="6" w16cid:durableId="1684086831">
    <w:abstractNumId w:val="6"/>
  </w:num>
  <w:num w:numId="7" w16cid:durableId="520122327">
    <w:abstractNumId w:val="3"/>
  </w:num>
  <w:num w:numId="8" w16cid:durableId="1828670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31"/>
    <w:rsid w:val="000015CF"/>
    <w:rsid w:val="00012144"/>
    <w:rsid w:val="00014E1C"/>
    <w:rsid w:val="00015683"/>
    <w:rsid w:val="00031EBE"/>
    <w:rsid w:val="00042309"/>
    <w:rsid w:val="00042A9A"/>
    <w:rsid w:val="000C2761"/>
    <w:rsid w:val="000C66B4"/>
    <w:rsid w:val="000D12A7"/>
    <w:rsid w:val="00112244"/>
    <w:rsid w:val="00154246"/>
    <w:rsid w:val="00182CA7"/>
    <w:rsid w:val="00185306"/>
    <w:rsid w:val="001903FA"/>
    <w:rsid w:val="00191C0F"/>
    <w:rsid w:val="001953D5"/>
    <w:rsid w:val="001B60CC"/>
    <w:rsid w:val="001F3508"/>
    <w:rsid w:val="00233254"/>
    <w:rsid w:val="002646BB"/>
    <w:rsid w:val="00265032"/>
    <w:rsid w:val="00272D3B"/>
    <w:rsid w:val="00281DD2"/>
    <w:rsid w:val="00282D84"/>
    <w:rsid w:val="00291C62"/>
    <w:rsid w:val="00297BE7"/>
    <w:rsid w:val="002A6881"/>
    <w:rsid w:val="002A6B65"/>
    <w:rsid w:val="002C7E21"/>
    <w:rsid w:val="002D575A"/>
    <w:rsid w:val="002E1B32"/>
    <w:rsid w:val="002E2538"/>
    <w:rsid w:val="003228BB"/>
    <w:rsid w:val="00380A9E"/>
    <w:rsid w:val="00381B08"/>
    <w:rsid w:val="003C3E53"/>
    <w:rsid w:val="003D2C4F"/>
    <w:rsid w:val="003E73C8"/>
    <w:rsid w:val="003F034B"/>
    <w:rsid w:val="00417557"/>
    <w:rsid w:val="00422D7A"/>
    <w:rsid w:val="0043173F"/>
    <w:rsid w:val="00492A3C"/>
    <w:rsid w:val="004B1460"/>
    <w:rsid w:val="004D43D4"/>
    <w:rsid w:val="004E5C77"/>
    <w:rsid w:val="00506972"/>
    <w:rsid w:val="00543862"/>
    <w:rsid w:val="005862AE"/>
    <w:rsid w:val="00597894"/>
    <w:rsid w:val="005A5E84"/>
    <w:rsid w:val="005B2232"/>
    <w:rsid w:val="005E12C2"/>
    <w:rsid w:val="005F434D"/>
    <w:rsid w:val="006043F1"/>
    <w:rsid w:val="00606AFA"/>
    <w:rsid w:val="00665AC3"/>
    <w:rsid w:val="0067319F"/>
    <w:rsid w:val="00681341"/>
    <w:rsid w:val="006E0FFC"/>
    <w:rsid w:val="006E79CE"/>
    <w:rsid w:val="00700A97"/>
    <w:rsid w:val="00740491"/>
    <w:rsid w:val="00772A39"/>
    <w:rsid w:val="00787A49"/>
    <w:rsid w:val="00794B6B"/>
    <w:rsid w:val="00796A84"/>
    <w:rsid w:val="007B3017"/>
    <w:rsid w:val="007F43B5"/>
    <w:rsid w:val="00813347"/>
    <w:rsid w:val="00813A49"/>
    <w:rsid w:val="008662F0"/>
    <w:rsid w:val="00886753"/>
    <w:rsid w:val="00891641"/>
    <w:rsid w:val="00893040"/>
    <w:rsid w:val="0089528E"/>
    <w:rsid w:val="008C4700"/>
    <w:rsid w:val="008D6DE5"/>
    <w:rsid w:val="008E72F5"/>
    <w:rsid w:val="008F2121"/>
    <w:rsid w:val="008F610F"/>
    <w:rsid w:val="008F7BA0"/>
    <w:rsid w:val="00910E84"/>
    <w:rsid w:val="009134E1"/>
    <w:rsid w:val="00944824"/>
    <w:rsid w:val="00993830"/>
    <w:rsid w:val="009A647B"/>
    <w:rsid w:val="009C06C1"/>
    <w:rsid w:val="009C49C7"/>
    <w:rsid w:val="009D10A4"/>
    <w:rsid w:val="009E401A"/>
    <w:rsid w:val="009F15C9"/>
    <w:rsid w:val="009F3BBE"/>
    <w:rsid w:val="009F60F3"/>
    <w:rsid w:val="00A05A1E"/>
    <w:rsid w:val="00A11157"/>
    <w:rsid w:val="00A2605C"/>
    <w:rsid w:val="00A3444D"/>
    <w:rsid w:val="00A403C4"/>
    <w:rsid w:val="00A42EF7"/>
    <w:rsid w:val="00A62470"/>
    <w:rsid w:val="00A65BF3"/>
    <w:rsid w:val="00AB5233"/>
    <w:rsid w:val="00AC3CB2"/>
    <w:rsid w:val="00AD6E98"/>
    <w:rsid w:val="00B27EFF"/>
    <w:rsid w:val="00B32703"/>
    <w:rsid w:val="00B65A6F"/>
    <w:rsid w:val="00B67051"/>
    <w:rsid w:val="00B67F16"/>
    <w:rsid w:val="00B8153C"/>
    <w:rsid w:val="00B955F4"/>
    <w:rsid w:val="00BA457B"/>
    <w:rsid w:val="00BA51B3"/>
    <w:rsid w:val="00BB5581"/>
    <w:rsid w:val="00BC6547"/>
    <w:rsid w:val="00BD7564"/>
    <w:rsid w:val="00BF2CF6"/>
    <w:rsid w:val="00C53A4D"/>
    <w:rsid w:val="00CB0A5F"/>
    <w:rsid w:val="00CB47F9"/>
    <w:rsid w:val="00CD35FA"/>
    <w:rsid w:val="00CD52D6"/>
    <w:rsid w:val="00D035E8"/>
    <w:rsid w:val="00D12E31"/>
    <w:rsid w:val="00D50A44"/>
    <w:rsid w:val="00D5247A"/>
    <w:rsid w:val="00D607F9"/>
    <w:rsid w:val="00E04EE2"/>
    <w:rsid w:val="00E0768A"/>
    <w:rsid w:val="00EA76C3"/>
    <w:rsid w:val="00EB5EA2"/>
    <w:rsid w:val="00ED2EF5"/>
    <w:rsid w:val="00ED5273"/>
    <w:rsid w:val="00F2677D"/>
    <w:rsid w:val="00F5584F"/>
    <w:rsid w:val="00F92D60"/>
    <w:rsid w:val="00F94190"/>
    <w:rsid w:val="00FF0959"/>
    <w:rsid w:val="00FF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6B80"/>
  <w15:chartTrackingRefBased/>
  <w15:docId w15:val="{34775C31-58CA-4A56-96CB-8BFCFCCE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F6"/>
    <w:pPr>
      <w:ind w:left="720"/>
      <w:contextualSpacing/>
    </w:pPr>
  </w:style>
  <w:style w:type="character" w:styleId="CommentReference">
    <w:name w:val="annotation reference"/>
    <w:basedOn w:val="DefaultParagraphFont"/>
    <w:uiPriority w:val="99"/>
    <w:semiHidden/>
    <w:unhideWhenUsed/>
    <w:rsid w:val="00CD35FA"/>
    <w:rPr>
      <w:sz w:val="16"/>
      <w:szCs w:val="16"/>
    </w:rPr>
  </w:style>
  <w:style w:type="paragraph" w:styleId="CommentText">
    <w:name w:val="annotation text"/>
    <w:basedOn w:val="Normal"/>
    <w:link w:val="CommentTextChar"/>
    <w:uiPriority w:val="99"/>
    <w:semiHidden/>
    <w:unhideWhenUsed/>
    <w:rsid w:val="00CD35FA"/>
    <w:pPr>
      <w:spacing w:line="240" w:lineRule="auto"/>
    </w:pPr>
    <w:rPr>
      <w:sz w:val="20"/>
      <w:szCs w:val="20"/>
    </w:rPr>
  </w:style>
  <w:style w:type="character" w:customStyle="1" w:styleId="CommentTextChar">
    <w:name w:val="Comment Text Char"/>
    <w:basedOn w:val="DefaultParagraphFont"/>
    <w:link w:val="CommentText"/>
    <w:uiPriority w:val="99"/>
    <w:semiHidden/>
    <w:rsid w:val="00CD35FA"/>
    <w:rPr>
      <w:sz w:val="20"/>
      <w:szCs w:val="20"/>
    </w:rPr>
  </w:style>
  <w:style w:type="paragraph" w:styleId="CommentSubject">
    <w:name w:val="annotation subject"/>
    <w:basedOn w:val="CommentText"/>
    <w:next w:val="CommentText"/>
    <w:link w:val="CommentSubjectChar"/>
    <w:uiPriority w:val="99"/>
    <w:semiHidden/>
    <w:unhideWhenUsed/>
    <w:rsid w:val="008E72F5"/>
    <w:rPr>
      <w:b/>
      <w:bCs/>
    </w:rPr>
  </w:style>
  <w:style w:type="character" w:customStyle="1" w:styleId="CommentSubjectChar">
    <w:name w:val="Comment Subject Char"/>
    <w:basedOn w:val="CommentTextChar"/>
    <w:link w:val="CommentSubject"/>
    <w:uiPriority w:val="99"/>
    <w:semiHidden/>
    <w:rsid w:val="008E72F5"/>
    <w:rPr>
      <w:b/>
      <w:bCs/>
      <w:sz w:val="20"/>
      <w:szCs w:val="20"/>
    </w:rPr>
  </w:style>
  <w:style w:type="paragraph" w:styleId="BalloonText">
    <w:name w:val="Balloon Text"/>
    <w:basedOn w:val="Normal"/>
    <w:link w:val="BalloonTextChar"/>
    <w:uiPriority w:val="99"/>
    <w:semiHidden/>
    <w:unhideWhenUsed/>
    <w:rsid w:val="00BA5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1B3"/>
    <w:rPr>
      <w:rFonts w:ascii="Segoe UI" w:hAnsi="Segoe UI" w:cs="Segoe UI"/>
      <w:sz w:val="18"/>
      <w:szCs w:val="18"/>
    </w:rPr>
  </w:style>
  <w:style w:type="table" w:styleId="TableGrid">
    <w:name w:val="Table Grid"/>
    <w:basedOn w:val="TableNormal"/>
    <w:uiPriority w:val="39"/>
    <w:rsid w:val="00A1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8BB"/>
    <w:rPr>
      <w:color w:val="0563C1" w:themeColor="hyperlink"/>
      <w:u w:val="single"/>
    </w:rPr>
  </w:style>
  <w:style w:type="paragraph" w:styleId="Revision">
    <w:name w:val="Revision"/>
    <w:hidden/>
    <w:uiPriority w:val="99"/>
    <w:semiHidden/>
    <w:rsid w:val="00182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5486">
      <w:bodyDiv w:val="1"/>
      <w:marLeft w:val="0"/>
      <w:marRight w:val="0"/>
      <w:marTop w:val="0"/>
      <w:marBottom w:val="0"/>
      <w:divBdr>
        <w:top w:val="none" w:sz="0" w:space="0" w:color="auto"/>
        <w:left w:val="none" w:sz="0" w:space="0" w:color="auto"/>
        <w:bottom w:val="none" w:sz="0" w:space="0" w:color="auto"/>
        <w:right w:val="none" w:sz="0" w:space="0" w:color="auto"/>
      </w:divBdr>
    </w:div>
    <w:div w:id="2095203406">
      <w:bodyDiv w:val="1"/>
      <w:marLeft w:val="0"/>
      <w:marRight w:val="0"/>
      <w:marTop w:val="0"/>
      <w:marBottom w:val="0"/>
      <w:divBdr>
        <w:top w:val="none" w:sz="0" w:space="0" w:color="auto"/>
        <w:left w:val="none" w:sz="0" w:space="0" w:color="auto"/>
        <w:bottom w:val="none" w:sz="0" w:space="0" w:color="auto"/>
        <w:right w:val="none" w:sz="0" w:space="0" w:color="auto"/>
      </w:divBdr>
    </w:div>
    <w:div w:id="21436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hrp.cit.nih.gov/search/fwasearch.aspx?styp=bs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2073-095F-4B3A-9401-3BF4E96D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Castine</dc:creator>
  <cp:keywords/>
  <dc:description/>
  <cp:lastModifiedBy>Castine Clerkin</cp:lastModifiedBy>
  <cp:revision>3</cp:revision>
  <dcterms:created xsi:type="dcterms:W3CDTF">2023-05-10T01:47:00Z</dcterms:created>
  <dcterms:modified xsi:type="dcterms:W3CDTF">2023-05-10T01:48:00Z</dcterms:modified>
</cp:coreProperties>
</file>