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D7323" w14:textId="1FF0C3D5" w:rsidR="00191CA1" w:rsidRPr="007632F6" w:rsidRDefault="00500B75" w:rsidP="007632F6">
      <w:pPr>
        <w:jc w:val="center"/>
        <w:rPr>
          <w:rFonts w:asciiTheme="minorHAnsi" w:hAnsiTheme="minorHAnsi" w:cstheme="minorHAnsi"/>
          <w:b/>
          <w:sz w:val="22"/>
          <w:szCs w:val="22"/>
        </w:rPr>
      </w:pPr>
      <w:r w:rsidRPr="007632F6">
        <w:rPr>
          <w:rFonts w:asciiTheme="minorHAnsi" w:hAnsiTheme="minorHAnsi" w:cstheme="minorHAnsi"/>
          <w:b/>
          <w:sz w:val="22"/>
          <w:szCs w:val="22"/>
        </w:rPr>
        <w:t xml:space="preserve">Standardization and Registry Development </w:t>
      </w:r>
      <w:r w:rsidR="00A75346" w:rsidRPr="007632F6">
        <w:rPr>
          <w:rFonts w:asciiTheme="minorHAnsi" w:hAnsiTheme="minorHAnsi" w:cstheme="minorHAnsi"/>
          <w:b/>
          <w:sz w:val="22"/>
          <w:szCs w:val="22"/>
        </w:rPr>
        <w:t xml:space="preserve">Steering Committee </w:t>
      </w:r>
    </w:p>
    <w:p w14:paraId="72957FF8" w14:textId="519A8E72" w:rsidR="007632F6" w:rsidRPr="007632F6" w:rsidRDefault="007632F6" w:rsidP="007632F6">
      <w:pPr>
        <w:jc w:val="center"/>
        <w:rPr>
          <w:rFonts w:asciiTheme="minorHAnsi" w:hAnsiTheme="minorHAnsi" w:cstheme="minorHAnsi"/>
          <w:b/>
          <w:sz w:val="22"/>
          <w:szCs w:val="22"/>
        </w:rPr>
      </w:pPr>
      <w:r w:rsidRPr="007632F6">
        <w:rPr>
          <w:rFonts w:asciiTheme="minorHAnsi" w:hAnsiTheme="minorHAnsi" w:cstheme="minorHAnsi"/>
          <w:b/>
          <w:sz w:val="22"/>
          <w:szCs w:val="22"/>
        </w:rPr>
        <w:t>Team Charter</w:t>
      </w:r>
    </w:p>
    <w:p w14:paraId="31578F4B" w14:textId="77777777" w:rsidR="007632F6" w:rsidRPr="007632F6" w:rsidRDefault="007632F6" w:rsidP="007632F6">
      <w:pPr>
        <w:jc w:val="center"/>
        <w:rPr>
          <w:rFonts w:asciiTheme="minorHAnsi" w:hAnsiTheme="minorHAnsi" w:cstheme="minorHAnsi"/>
          <w:color w:val="FF0000"/>
          <w:sz w:val="22"/>
          <w:szCs w:val="22"/>
        </w:rPr>
      </w:pPr>
    </w:p>
    <w:p w14:paraId="7BD6EFF6" w14:textId="77777777" w:rsidR="008E219E" w:rsidRPr="007632F6" w:rsidRDefault="008E219E" w:rsidP="008E219E">
      <w:pPr>
        <w:rPr>
          <w:rFonts w:asciiTheme="minorHAnsi" w:hAnsiTheme="minorHAnsi" w:cstheme="minorHAnsi"/>
          <w:sz w:val="22"/>
          <w:szCs w:val="22"/>
        </w:rPr>
      </w:pPr>
      <w:r w:rsidRPr="007632F6">
        <w:rPr>
          <w:rFonts w:asciiTheme="minorHAnsi" w:hAnsiTheme="minorHAnsi" w:cstheme="minorHAnsi"/>
          <w:b/>
          <w:sz w:val="22"/>
          <w:szCs w:val="22"/>
        </w:rPr>
        <w:t>Objective:</w:t>
      </w:r>
      <w:r w:rsidRPr="007632F6">
        <w:rPr>
          <w:rFonts w:asciiTheme="minorHAnsi" w:hAnsiTheme="minorHAnsi" w:cstheme="minorHAnsi"/>
          <w:sz w:val="22"/>
          <w:szCs w:val="22"/>
        </w:rPr>
        <w:t xml:space="preserve">  In partnership with the Board of Directors, the Steering Committee leads the overall planning, implementation, and monitoring of all tasks for the </w:t>
      </w:r>
      <w:r w:rsidR="00BD029B" w:rsidRPr="007632F6">
        <w:rPr>
          <w:rFonts w:asciiTheme="minorHAnsi" w:hAnsiTheme="minorHAnsi" w:cstheme="minorHAnsi"/>
          <w:sz w:val="22"/>
          <w:szCs w:val="22"/>
        </w:rPr>
        <w:t>Standardization and Registry Development</w:t>
      </w:r>
      <w:r w:rsidR="00BD029B" w:rsidRPr="007632F6" w:rsidDel="00BD029B">
        <w:rPr>
          <w:rFonts w:asciiTheme="minorHAnsi" w:hAnsiTheme="minorHAnsi" w:cstheme="minorHAnsi"/>
          <w:sz w:val="22"/>
          <w:szCs w:val="22"/>
        </w:rPr>
        <w:t xml:space="preserve"> </w:t>
      </w:r>
      <w:r w:rsidRPr="007632F6">
        <w:rPr>
          <w:rFonts w:asciiTheme="minorHAnsi" w:hAnsiTheme="minorHAnsi" w:cstheme="minorHAnsi"/>
          <w:sz w:val="22"/>
          <w:szCs w:val="22"/>
        </w:rPr>
        <w:t xml:space="preserve">Priority Area. </w:t>
      </w:r>
    </w:p>
    <w:p w14:paraId="7FC09FEF" w14:textId="77777777" w:rsidR="008E219E" w:rsidRPr="007632F6" w:rsidRDefault="008E219E" w:rsidP="008E219E">
      <w:pPr>
        <w:ind w:left="1440"/>
        <w:rPr>
          <w:rFonts w:asciiTheme="minorHAnsi" w:hAnsiTheme="minorHAnsi" w:cstheme="minorHAnsi"/>
          <w:sz w:val="22"/>
          <w:szCs w:val="22"/>
        </w:rPr>
      </w:pPr>
      <w:r w:rsidRPr="007632F6">
        <w:rPr>
          <w:rFonts w:asciiTheme="minorHAnsi" w:hAnsiTheme="minorHAnsi" w:cstheme="minorHAnsi"/>
          <w:sz w:val="22"/>
          <w:szCs w:val="22"/>
        </w:rPr>
        <w:tab/>
      </w:r>
    </w:p>
    <w:p w14:paraId="1BC47F80" w14:textId="77777777" w:rsidR="008E219E" w:rsidRPr="007632F6" w:rsidRDefault="008E219E" w:rsidP="008E219E">
      <w:pPr>
        <w:rPr>
          <w:rFonts w:asciiTheme="minorHAnsi" w:hAnsiTheme="minorHAnsi" w:cstheme="minorHAnsi"/>
          <w:sz w:val="22"/>
          <w:szCs w:val="22"/>
        </w:rPr>
      </w:pPr>
      <w:r w:rsidRPr="007632F6">
        <w:rPr>
          <w:rFonts w:asciiTheme="minorHAnsi" w:hAnsiTheme="minorHAnsi" w:cstheme="minorHAnsi"/>
          <w:b/>
          <w:sz w:val="22"/>
          <w:szCs w:val="22"/>
        </w:rPr>
        <w:t>Steering Committee Roles and Responsibilities (applies to all Steering Committees)</w:t>
      </w:r>
      <w:r w:rsidRPr="007632F6">
        <w:rPr>
          <w:rFonts w:asciiTheme="minorHAnsi" w:hAnsiTheme="minorHAnsi" w:cstheme="minorHAnsi"/>
          <w:sz w:val="22"/>
          <w:szCs w:val="22"/>
        </w:rPr>
        <w:t>:</w:t>
      </w:r>
      <w:r w:rsidRPr="007632F6">
        <w:rPr>
          <w:rFonts w:asciiTheme="minorHAnsi" w:hAnsiTheme="minorHAnsi" w:cstheme="minorHAnsi"/>
          <w:sz w:val="22"/>
          <w:szCs w:val="22"/>
        </w:rPr>
        <w:tab/>
      </w:r>
    </w:p>
    <w:p w14:paraId="5C5C05B9" w14:textId="77777777" w:rsidR="008E219E" w:rsidRPr="007632F6" w:rsidRDefault="008E219E" w:rsidP="008E219E">
      <w:pPr>
        <w:pStyle w:val="ListParagraph"/>
        <w:numPr>
          <w:ilvl w:val="0"/>
          <w:numId w:val="4"/>
        </w:numPr>
        <w:spacing w:after="0" w:line="240" w:lineRule="auto"/>
        <w:ind w:left="360"/>
        <w:contextualSpacing w:val="0"/>
        <w:rPr>
          <w:rFonts w:asciiTheme="minorHAnsi" w:hAnsiTheme="minorHAnsi" w:cstheme="minorHAnsi"/>
        </w:rPr>
      </w:pPr>
      <w:r w:rsidRPr="007632F6">
        <w:rPr>
          <w:rFonts w:asciiTheme="minorHAnsi" w:hAnsiTheme="minorHAnsi" w:cstheme="minorHAnsi"/>
        </w:rPr>
        <w:t>Plan and set overall direction for priority area; lead and develop its priority area network; and, ensure that major goals and timelines are achieved through use of workgroups and task forces.</w:t>
      </w:r>
    </w:p>
    <w:p w14:paraId="51547B33" w14:textId="77777777" w:rsidR="008E219E" w:rsidRPr="007632F6" w:rsidRDefault="008E219E" w:rsidP="008E219E">
      <w:pPr>
        <w:pStyle w:val="ListParagraph"/>
        <w:numPr>
          <w:ilvl w:val="0"/>
          <w:numId w:val="4"/>
        </w:numPr>
        <w:spacing w:after="0" w:line="240" w:lineRule="auto"/>
        <w:ind w:left="360"/>
        <w:contextualSpacing w:val="0"/>
        <w:rPr>
          <w:rFonts w:asciiTheme="minorHAnsi" w:hAnsiTheme="minorHAnsi" w:cstheme="minorHAnsi"/>
        </w:rPr>
      </w:pPr>
      <w:r w:rsidRPr="007632F6">
        <w:rPr>
          <w:rFonts w:asciiTheme="minorHAnsi" w:hAnsiTheme="minorHAnsi" w:cstheme="minorHAnsi"/>
        </w:rPr>
        <w:t>Facilitate innovative problem-solving and open communication across multidisciplinary members and groups; encourage relationship building across network; and, serve as sounding board for new ideas and opportunities for growth.</w:t>
      </w:r>
    </w:p>
    <w:p w14:paraId="31072A12" w14:textId="77777777" w:rsidR="008E219E" w:rsidRPr="007632F6" w:rsidRDefault="008E219E" w:rsidP="008E219E">
      <w:pPr>
        <w:pStyle w:val="ListParagraph"/>
        <w:numPr>
          <w:ilvl w:val="0"/>
          <w:numId w:val="4"/>
        </w:numPr>
        <w:spacing w:after="0" w:line="240" w:lineRule="auto"/>
        <w:ind w:left="360"/>
        <w:contextualSpacing w:val="0"/>
        <w:rPr>
          <w:rFonts w:asciiTheme="minorHAnsi" w:hAnsiTheme="minorHAnsi" w:cstheme="minorHAnsi"/>
        </w:rPr>
      </w:pPr>
      <w:r w:rsidRPr="007632F6">
        <w:rPr>
          <w:rFonts w:asciiTheme="minorHAnsi" w:hAnsiTheme="minorHAnsi" w:cstheme="minorHAnsi"/>
        </w:rPr>
        <w:t>Monitor progress, which may include tracking timelines and creating and implementing evaluation procedures; assess need for changes to SMP priority area; and, report regularly to the Board and annually to members.</w:t>
      </w:r>
    </w:p>
    <w:p w14:paraId="7AE5C682" w14:textId="77777777" w:rsidR="008E219E" w:rsidRPr="007632F6" w:rsidRDefault="008E219E" w:rsidP="008E219E">
      <w:pPr>
        <w:pStyle w:val="ListParagraph"/>
        <w:numPr>
          <w:ilvl w:val="0"/>
          <w:numId w:val="4"/>
        </w:numPr>
        <w:spacing w:after="0" w:line="240" w:lineRule="auto"/>
        <w:ind w:left="360"/>
        <w:contextualSpacing w:val="0"/>
        <w:rPr>
          <w:rFonts w:asciiTheme="minorHAnsi" w:hAnsiTheme="minorHAnsi" w:cstheme="minorHAnsi"/>
        </w:rPr>
      </w:pPr>
      <w:r w:rsidRPr="007632F6">
        <w:rPr>
          <w:rFonts w:asciiTheme="minorHAnsi" w:hAnsiTheme="minorHAnsi" w:cstheme="minorHAnsi"/>
          <w:color w:val="000000"/>
        </w:rPr>
        <w:t xml:space="preserve">Evaluate existing work groups/committees and their respective activities in relation to the goals/objectives of the </w:t>
      </w:r>
      <w:r w:rsidR="00BD029B" w:rsidRPr="007632F6">
        <w:rPr>
          <w:rFonts w:asciiTheme="minorHAnsi" w:hAnsiTheme="minorHAnsi" w:cstheme="minorHAnsi"/>
        </w:rPr>
        <w:t>Standardization and Registry Development</w:t>
      </w:r>
      <w:r w:rsidR="00BD029B" w:rsidRPr="007632F6" w:rsidDel="00BD029B">
        <w:rPr>
          <w:rFonts w:asciiTheme="minorHAnsi" w:hAnsiTheme="minorHAnsi" w:cstheme="minorHAnsi"/>
        </w:rPr>
        <w:t xml:space="preserve"> </w:t>
      </w:r>
      <w:r w:rsidRPr="007632F6">
        <w:rPr>
          <w:rFonts w:asciiTheme="minorHAnsi" w:hAnsiTheme="minorHAnsi" w:cstheme="minorHAnsi"/>
          <w:color w:val="000000"/>
        </w:rPr>
        <w:t xml:space="preserve">Priority Area; determine how new and existing activities will be integrated into a cohesive plan; and, make final recommendations to the Board for approval. </w:t>
      </w:r>
    </w:p>
    <w:p w14:paraId="5BFD5E7D" w14:textId="77777777" w:rsidR="009A649A" w:rsidRPr="007632F6" w:rsidRDefault="009A649A" w:rsidP="00BF30DB">
      <w:pPr>
        <w:pStyle w:val="ListParagraph"/>
        <w:spacing w:after="0" w:line="240" w:lineRule="auto"/>
        <w:ind w:left="0"/>
        <w:contextualSpacing w:val="0"/>
        <w:rPr>
          <w:rFonts w:asciiTheme="minorHAnsi" w:hAnsiTheme="minorHAnsi" w:cstheme="minorHAnsi"/>
          <w:color w:val="FF0000"/>
        </w:rPr>
      </w:pPr>
    </w:p>
    <w:p w14:paraId="221EC597" w14:textId="77777777" w:rsidR="009212EA" w:rsidRPr="007632F6" w:rsidRDefault="00446EED" w:rsidP="00BF30DB">
      <w:pPr>
        <w:pStyle w:val="ListParagraph"/>
        <w:spacing w:after="0" w:line="240" w:lineRule="auto"/>
        <w:ind w:left="0"/>
        <w:contextualSpacing w:val="0"/>
        <w:rPr>
          <w:rFonts w:asciiTheme="minorHAnsi" w:hAnsiTheme="minorHAnsi" w:cstheme="minorHAnsi"/>
          <w:b/>
        </w:rPr>
      </w:pPr>
      <w:r w:rsidRPr="007632F6">
        <w:rPr>
          <w:rFonts w:asciiTheme="minorHAnsi" w:hAnsiTheme="minorHAnsi" w:cstheme="minorHAnsi"/>
          <w:b/>
        </w:rPr>
        <w:t>Standardization and Registry Development</w:t>
      </w:r>
      <w:r w:rsidR="00FE41DB" w:rsidRPr="007632F6">
        <w:rPr>
          <w:rFonts w:asciiTheme="minorHAnsi" w:hAnsiTheme="minorHAnsi" w:cstheme="minorHAnsi"/>
          <w:b/>
        </w:rPr>
        <w:t xml:space="preserve"> Steering Committee</w:t>
      </w:r>
      <w:r w:rsidRPr="007632F6" w:rsidDel="00446EED">
        <w:rPr>
          <w:rFonts w:asciiTheme="minorHAnsi" w:hAnsiTheme="minorHAnsi" w:cstheme="minorHAnsi"/>
          <w:b/>
          <w:color w:val="FF0000"/>
        </w:rPr>
        <w:t xml:space="preserve"> </w:t>
      </w:r>
      <w:r w:rsidR="009A649A" w:rsidRPr="007632F6">
        <w:rPr>
          <w:rFonts w:asciiTheme="minorHAnsi" w:hAnsiTheme="minorHAnsi" w:cstheme="minorHAnsi"/>
          <w:b/>
        </w:rPr>
        <w:t>Roles and Responsibilities:</w:t>
      </w:r>
      <w:r w:rsidR="009A649A" w:rsidRPr="007632F6">
        <w:rPr>
          <w:rFonts w:asciiTheme="minorHAnsi" w:hAnsiTheme="minorHAnsi" w:cstheme="minorHAnsi"/>
          <w:b/>
          <w:color w:val="FF0000"/>
        </w:rPr>
        <w:t xml:space="preserve"> </w:t>
      </w:r>
    </w:p>
    <w:p w14:paraId="118F0614" w14:textId="77777777" w:rsidR="00832EE4" w:rsidRPr="007632F6" w:rsidRDefault="00832EE4" w:rsidP="00BF30DB">
      <w:pPr>
        <w:numPr>
          <w:ilvl w:val="0"/>
          <w:numId w:val="8"/>
        </w:numPr>
        <w:autoSpaceDE w:val="0"/>
        <w:autoSpaceDN w:val="0"/>
        <w:adjustRightInd w:val="0"/>
        <w:ind w:left="360"/>
        <w:rPr>
          <w:rFonts w:asciiTheme="minorHAnsi" w:hAnsiTheme="minorHAnsi" w:cstheme="minorHAnsi"/>
          <w:color w:val="000000"/>
          <w:sz w:val="22"/>
          <w:szCs w:val="22"/>
        </w:rPr>
      </w:pPr>
      <w:r w:rsidRPr="007632F6">
        <w:rPr>
          <w:rFonts w:asciiTheme="minorHAnsi" w:hAnsiTheme="minorHAnsi" w:cstheme="minorHAnsi"/>
          <w:sz w:val="22"/>
          <w:szCs w:val="22"/>
        </w:rPr>
        <w:t xml:space="preserve">Explore and implement strategies that will prepare central registries to adapt rapidly and successfully to </w:t>
      </w:r>
      <w:r w:rsidR="00FD21F9" w:rsidRPr="007632F6">
        <w:rPr>
          <w:rFonts w:asciiTheme="minorHAnsi" w:hAnsiTheme="minorHAnsi" w:cstheme="minorHAnsi"/>
          <w:sz w:val="22"/>
          <w:szCs w:val="22"/>
        </w:rPr>
        <w:t xml:space="preserve">technologically-driven </w:t>
      </w:r>
      <w:r w:rsidRPr="007632F6">
        <w:rPr>
          <w:rFonts w:asciiTheme="minorHAnsi" w:hAnsiTheme="minorHAnsi" w:cstheme="minorHAnsi"/>
          <w:sz w:val="22"/>
          <w:szCs w:val="22"/>
        </w:rPr>
        <w:t>chang</w:t>
      </w:r>
      <w:r w:rsidR="00FD21F9" w:rsidRPr="007632F6">
        <w:rPr>
          <w:rFonts w:asciiTheme="minorHAnsi" w:hAnsiTheme="minorHAnsi" w:cstheme="minorHAnsi"/>
          <w:sz w:val="22"/>
          <w:szCs w:val="22"/>
        </w:rPr>
        <w:t>es</w:t>
      </w:r>
      <w:r w:rsidRPr="007632F6">
        <w:rPr>
          <w:rFonts w:asciiTheme="minorHAnsi" w:hAnsiTheme="minorHAnsi" w:cstheme="minorHAnsi"/>
          <w:sz w:val="22"/>
          <w:szCs w:val="22"/>
        </w:rPr>
        <w:t xml:space="preserve"> in c</w:t>
      </w:r>
      <w:r w:rsidR="00FD21F9" w:rsidRPr="007632F6">
        <w:rPr>
          <w:rFonts w:asciiTheme="minorHAnsi" w:hAnsiTheme="minorHAnsi" w:cstheme="minorHAnsi"/>
          <w:sz w:val="22"/>
          <w:szCs w:val="22"/>
        </w:rPr>
        <w:t>ancer surveillance, including advances in information systems and technology</w:t>
      </w:r>
      <w:r w:rsidRPr="007632F6">
        <w:rPr>
          <w:rFonts w:asciiTheme="minorHAnsi" w:hAnsiTheme="minorHAnsi" w:cstheme="minorHAnsi"/>
          <w:sz w:val="22"/>
          <w:szCs w:val="22"/>
        </w:rPr>
        <w:t xml:space="preserve"> and </w:t>
      </w:r>
      <w:r w:rsidR="00FD21F9" w:rsidRPr="007632F6">
        <w:rPr>
          <w:rFonts w:asciiTheme="minorHAnsi" w:hAnsiTheme="minorHAnsi" w:cstheme="minorHAnsi"/>
          <w:sz w:val="22"/>
          <w:szCs w:val="22"/>
        </w:rPr>
        <w:t xml:space="preserve">the national adoption </w:t>
      </w:r>
      <w:r w:rsidRPr="007632F6">
        <w:rPr>
          <w:rFonts w:asciiTheme="minorHAnsi" w:hAnsiTheme="minorHAnsi" w:cstheme="minorHAnsi"/>
          <w:sz w:val="22"/>
          <w:szCs w:val="22"/>
        </w:rPr>
        <w:t>of electronic health records</w:t>
      </w:r>
      <w:r w:rsidR="00FD21F9" w:rsidRPr="007632F6">
        <w:rPr>
          <w:rFonts w:asciiTheme="minorHAnsi" w:hAnsiTheme="minorHAnsi" w:cstheme="minorHAnsi"/>
          <w:sz w:val="22"/>
          <w:szCs w:val="22"/>
        </w:rPr>
        <w:t>.</w:t>
      </w:r>
    </w:p>
    <w:p w14:paraId="36E8E709" w14:textId="77777777" w:rsidR="00543270" w:rsidRPr="007632F6" w:rsidRDefault="00BF30DB" w:rsidP="00525875">
      <w:pPr>
        <w:numPr>
          <w:ilvl w:val="0"/>
          <w:numId w:val="8"/>
        </w:numPr>
        <w:autoSpaceDE w:val="0"/>
        <w:autoSpaceDN w:val="0"/>
        <w:adjustRightInd w:val="0"/>
        <w:ind w:left="360"/>
        <w:rPr>
          <w:rFonts w:asciiTheme="minorHAnsi" w:hAnsiTheme="minorHAnsi" w:cstheme="minorHAnsi"/>
          <w:color w:val="000000"/>
          <w:sz w:val="22"/>
          <w:szCs w:val="22"/>
        </w:rPr>
      </w:pPr>
      <w:r w:rsidRPr="007632F6">
        <w:rPr>
          <w:rFonts w:asciiTheme="minorHAnsi" w:hAnsiTheme="minorHAnsi" w:cstheme="minorHAnsi"/>
          <w:sz w:val="22"/>
          <w:szCs w:val="22"/>
        </w:rPr>
        <w:t xml:space="preserve">Explore and implement strategies to </w:t>
      </w:r>
      <w:r w:rsidR="00543270" w:rsidRPr="007632F6">
        <w:rPr>
          <w:rFonts w:asciiTheme="minorHAnsi" w:hAnsiTheme="minorHAnsi" w:cstheme="minorHAnsi"/>
          <w:sz w:val="22"/>
          <w:szCs w:val="22"/>
        </w:rPr>
        <w:t>maintain consensus standards and best practices for cancer surveillance activities</w:t>
      </w:r>
      <w:r w:rsidR="00525875" w:rsidRPr="007632F6">
        <w:rPr>
          <w:rFonts w:asciiTheme="minorHAnsi" w:hAnsiTheme="minorHAnsi" w:cstheme="minorHAnsi"/>
          <w:sz w:val="22"/>
          <w:szCs w:val="22"/>
        </w:rPr>
        <w:t xml:space="preserve"> </w:t>
      </w:r>
      <w:r w:rsidR="00543270" w:rsidRPr="007632F6">
        <w:rPr>
          <w:rFonts w:asciiTheme="minorHAnsi" w:hAnsiTheme="minorHAnsi" w:cstheme="minorHAnsi"/>
          <w:sz w:val="22"/>
          <w:szCs w:val="22"/>
        </w:rPr>
        <w:t xml:space="preserve">and </w:t>
      </w:r>
      <w:r w:rsidRPr="007632F6">
        <w:rPr>
          <w:rFonts w:asciiTheme="minorHAnsi" w:hAnsiTheme="minorHAnsi" w:cstheme="minorHAnsi"/>
          <w:sz w:val="22"/>
          <w:szCs w:val="22"/>
        </w:rPr>
        <w:t xml:space="preserve">address central registry needs for semantic interoperability </w:t>
      </w:r>
      <w:r w:rsidR="00543270" w:rsidRPr="007632F6">
        <w:rPr>
          <w:rFonts w:asciiTheme="minorHAnsi" w:hAnsiTheme="minorHAnsi" w:cstheme="minorHAnsi"/>
          <w:sz w:val="22"/>
          <w:szCs w:val="22"/>
        </w:rPr>
        <w:t xml:space="preserve">and enhancements to </w:t>
      </w:r>
      <w:r w:rsidRPr="007632F6">
        <w:rPr>
          <w:rFonts w:asciiTheme="minorHAnsi" w:hAnsiTheme="minorHAnsi" w:cstheme="minorHAnsi"/>
          <w:sz w:val="22"/>
          <w:szCs w:val="22"/>
        </w:rPr>
        <w:t xml:space="preserve">database management </w:t>
      </w:r>
      <w:r w:rsidR="00543270" w:rsidRPr="007632F6">
        <w:rPr>
          <w:rFonts w:asciiTheme="minorHAnsi" w:hAnsiTheme="minorHAnsi" w:cstheme="minorHAnsi"/>
          <w:sz w:val="22"/>
          <w:szCs w:val="22"/>
        </w:rPr>
        <w:t xml:space="preserve">systems </w:t>
      </w:r>
      <w:r w:rsidRPr="007632F6">
        <w:rPr>
          <w:rFonts w:asciiTheme="minorHAnsi" w:hAnsiTheme="minorHAnsi" w:cstheme="minorHAnsi"/>
          <w:sz w:val="22"/>
          <w:szCs w:val="22"/>
        </w:rPr>
        <w:t xml:space="preserve">and </w:t>
      </w:r>
      <w:r w:rsidR="00543270" w:rsidRPr="007632F6">
        <w:rPr>
          <w:rFonts w:asciiTheme="minorHAnsi" w:hAnsiTheme="minorHAnsi" w:cstheme="minorHAnsi"/>
          <w:sz w:val="22"/>
          <w:szCs w:val="22"/>
        </w:rPr>
        <w:t>data transmission processes.</w:t>
      </w:r>
    </w:p>
    <w:p w14:paraId="1FF41FD6" w14:textId="77777777" w:rsidR="009212EA" w:rsidRPr="007632F6" w:rsidRDefault="009212EA" w:rsidP="00BF30DB">
      <w:pPr>
        <w:ind w:left="1440"/>
        <w:rPr>
          <w:rFonts w:asciiTheme="minorHAnsi" w:hAnsiTheme="minorHAnsi" w:cstheme="minorHAnsi"/>
          <w:sz w:val="22"/>
          <w:szCs w:val="22"/>
        </w:rPr>
      </w:pPr>
    </w:p>
    <w:p w14:paraId="737606DE" w14:textId="77777777" w:rsidR="008E219E" w:rsidRPr="007632F6" w:rsidRDefault="008E219E" w:rsidP="008E219E">
      <w:pPr>
        <w:rPr>
          <w:rFonts w:asciiTheme="minorHAnsi" w:hAnsiTheme="minorHAnsi" w:cstheme="minorHAnsi"/>
          <w:b/>
          <w:sz w:val="22"/>
          <w:szCs w:val="22"/>
        </w:rPr>
      </w:pPr>
      <w:r w:rsidRPr="007632F6">
        <w:rPr>
          <w:rFonts w:asciiTheme="minorHAnsi" w:hAnsiTheme="minorHAnsi" w:cstheme="minorHAnsi"/>
          <w:b/>
          <w:sz w:val="22"/>
          <w:szCs w:val="22"/>
        </w:rPr>
        <w:t>Membership:</w:t>
      </w:r>
    </w:p>
    <w:p w14:paraId="11F26059" w14:textId="77777777" w:rsidR="00EA3794" w:rsidRPr="007632F6" w:rsidRDefault="00EA3794" w:rsidP="00EA3794">
      <w:pPr>
        <w:numPr>
          <w:ilvl w:val="0"/>
          <w:numId w:val="5"/>
        </w:numPr>
        <w:outlineLvl w:val="3"/>
        <w:rPr>
          <w:rFonts w:asciiTheme="minorHAnsi" w:hAnsiTheme="minorHAnsi" w:cstheme="minorHAnsi"/>
          <w:sz w:val="22"/>
          <w:szCs w:val="22"/>
        </w:rPr>
      </w:pPr>
      <w:r w:rsidRPr="007632F6">
        <w:rPr>
          <w:rFonts w:asciiTheme="minorHAnsi" w:hAnsiTheme="minorHAnsi" w:cstheme="minorHAnsi"/>
          <w:b/>
          <w:sz w:val="22"/>
          <w:szCs w:val="22"/>
        </w:rPr>
        <w:t xml:space="preserve">NAACCR </w:t>
      </w:r>
      <w:r w:rsidRPr="007632F6">
        <w:rPr>
          <w:rFonts w:asciiTheme="minorHAnsi" w:hAnsiTheme="minorHAnsi" w:cstheme="minorHAnsi"/>
          <w:sz w:val="22"/>
          <w:szCs w:val="22"/>
        </w:rPr>
        <w:t xml:space="preserve">members with substantial experience in the priority area are encouraged to serve as Steering Committee Members through an open call for applications.  Applications will be reviewed and Members will be appointed by the Chair(s). Steering Committee Members may also be appointed at the discretion of the Chair(s). </w:t>
      </w:r>
    </w:p>
    <w:p w14:paraId="1A66E6D0" w14:textId="40F46694" w:rsidR="008E219E" w:rsidRPr="007632F6" w:rsidRDefault="008E219E" w:rsidP="008E219E">
      <w:pPr>
        <w:numPr>
          <w:ilvl w:val="0"/>
          <w:numId w:val="5"/>
        </w:numPr>
        <w:outlineLvl w:val="3"/>
        <w:rPr>
          <w:rFonts w:asciiTheme="minorHAnsi" w:hAnsiTheme="minorHAnsi" w:cstheme="minorHAnsi"/>
          <w:sz w:val="22"/>
          <w:szCs w:val="22"/>
        </w:rPr>
      </w:pPr>
      <w:r w:rsidRPr="007632F6">
        <w:rPr>
          <w:rFonts w:asciiTheme="minorHAnsi" w:hAnsiTheme="minorHAnsi" w:cstheme="minorHAnsi"/>
          <w:sz w:val="22"/>
          <w:szCs w:val="22"/>
        </w:rPr>
        <w:t>M</w:t>
      </w:r>
      <w:r w:rsidR="0090477D">
        <w:rPr>
          <w:rFonts w:asciiTheme="minorHAnsi" w:hAnsiTheme="minorHAnsi" w:cstheme="minorHAnsi"/>
          <w:sz w:val="22"/>
          <w:szCs w:val="22"/>
        </w:rPr>
        <w:t>embers are asked to serve a two-</w:t>
      </w:r>
      <w:r w:rsidRPr="007632F6">
        <w:rPr>
          <w:rFonts w:asciiTheme="minorHAnsi" w:hAnsiTheme="minorHAnsi" w:cstheme="minorHAnsi"/>
          <w:sz w:val="22"/>
          <w:szCs w:val="22"/>
        </w:rPr>
        <w:t xml:space="preserve">year term with an option to serve an additional </w:t>
      </w:r>
      <w:proofErr w:type="gramStart"/>
      <w:r w:rsidRPr="007632F6">
        <w:rPr>
          <w:rFonts w:asciiTheme="minorHAnsi" w:hAnsiTheme="minorHAnsi" w:cstheme="minorHAnsi"/>
          <w:sz w:val="22"/>
          <w:szCs w:val="22"/>
        </w:rPr>
        <w:t>two year</w:t>
      </w:r>
      <w:proofErr w:type="gramEnd"/>
      <w:r w:rsidRPr="007632F6">
        <w:rPr>
          <w:rFonts w:asciiTheme="minorHAnsi" w:hAnsiTheme="minorHAnsi" w:cstheme="minorHAnsi"/>
          <w:sz w:val="22"/>
          <w:szCs w:val="22"/>
        </w:rPr>
        <w:t xml:space="preserve"> term. For the first appointments only, terms may alternate between 1 and 2 years to assure committee transition. </w:t>
      </w:r>
    </w:p>
    <w:p w14:paraId="78B1810A" w14:textId="77777777" w:rsidR="008E219E" w:rsidRPr="007632F6" w:rsidRDefault="008E219E" w:rsidP="008E219E">
      <w:pPr>
        <w:numPr>
          <w:ilvl w:val="0"/>
          <w:numId w:val="5"/>
        </w:numPr>
        <w:outlineLvl w:val="3"/>
        <w:rPr>
          <w:rFonts w:asciiTheme="minorHAnsi" w:hAnsiTheme="minorHAnsi" w:cstheme="minorHAnsi"/>
          <w:sz w:val="22"/>
          <w:szCs w:val="22"/>
        </w:rPr>
      </w:pPr>
      <w:r w:rsidRPr="007632F6">
        <w:rPr>
          <w:rFonts w:asciiTheme="minorHAnsi" w:hAnsiTheme="minorHAnsi" w:cstheme="minorHAnsi"/>
          <w:sz w:val="22"/>
          <w:szCs w:val="22"/>
        </w:rPr>
        <w:t xml:space="preserve">All members except for Board Liaison and NAACCR staff will be entitled to vote.  </w:t>
      </w:r>
    </w:p>
    <w:p w14:paraId="4CB067C6" w14:textId="77777777" w:rsidR="008E219E" w:rsidRPr="007632F6" w:rsidRDefault="008E219E" w:rsidP="008E219E">
      <w:pPr>
        <w:pStyle w:val="Heading2"/>
        <w:spacing w:before="0" w:after="0"/>
        <w:rPr>
          <w:rFonts w:asciiTheme="minorHAnsi" w:hAnsiTheme="minorHAnsi" w:cstheme="minorHAnsi"/>
          <w:i w:val="0"/>
          <w:sz w:val="22"/>
          <w:szCs w:val="22"/>
        </w:rPr>
      </w:pPr>
    </w:p>
    <w:p w14:paraId="16ACB2CF" w14:textId="3059D229" w:rsidR="008E219E" w:rsidRPr="007632F6" w:rsidRDefault="008E219E" w:rsidP="008E219E">
      <w:pPr>
        <w:pStyle w:val="Heading2"/>
        <w:spacing w:before="0" w:after="0"/>
        <w:rPr>
          <w:rFonts w:asciiTheme="minorHAnsi" w:hAnsiTheme="minorHAnsi" w:cstheme="minorHAnsi"/>
          <w:b w:val="0"/>
          <w:i w:val="0"/>
          <w:sz w:val="22"/>
          <w:szCs w:val="22"/>
        </w:rPr>
      </w:pPr>
      <w:r w:rsidRPr="007632F6">
        <w:rPr>
          <w:rFonts w:asciiTheme="minorHAnsi" w:hAnsiTheme="minorHAnsi" w:cstheme="minorHAnsi"/>
          <w:i w:val="0"/>
          <w:sz w:val="22"/>
          <w:szCs w:val="22"/>
        </w:rPr>
        <w:t>Meetings:</w:t>
      </w:r>
      <w:r w:rsidR="0090477D">
        <w:rPr>
          <w:rFonts w:asciiTheme="minorHAnsi" w:hAnsiTheme="minorHAnsi" w:cstheme="minorHAnsi"/>
          <w:i w:val="0"/>
          <w:sz w:val="22"/>
          <w:szCs w:val="22"/>
        </w:rPr>
        <w:t xml:space="preserve">  </w:t>
      </w:r>
      <w:bookmarkStart w:id="0" w:name="_GoBack"/>
      <w:bookmarkEnd w:id="0"/>
      <w:r w:rsidRPr="007632F6">
        <w:rPr>
          <w:rFonts w:asciiTheme="minorHAnsi" w:hAnsiTheme="minorHAnsi" w:cstheme="minorHAnsi"/>
          <w:b w:val="0"/>
          <w:i w:val="0"/>
          <w:sz w:val="22"/>
          <w:szCs w:val="22"/>
        </w:rPr>
        <w:t xml:space="preserve">Once per month or as required. </w:t>
      </w:r>
    </w:p>
    <w:p w14:paraId="7A546345" w14:textId="77777777" w:rsidR="008E219E" w:rsidRPr="007632F6" w:rsidRDefault="008E219E" w:rsidP="008E219E">
      <w:pPr>
        <w:rPr>
          <w:rFonts w:asciiTheme="minorHAnsi" w:hAnsiTheme="minorHAnsi" w:cstheme="minorHAnsi"/>
          <w:sz w:val="22"/>
          <w:szCs w:val="22"/>
        </w:rPr>
      </w:pPr>
    </w:p>
    <w:p w14:paraId="1271577D" w14:textId="77777777" w:rsidR="008E219E" w:rsidRPr="007632F6" w:rsidRDefault="008E219E" w:rsidP="008E219E">
      <w:pPr>
        <w:ind w:left="1440" w:hanging="1440"/>
        <w:rPr>
          <w:rFonts w:asciiTheme="minorHAnsi" w:hAnsiTheme="minorHAnsi" w:cstheme="minorHAnsi"/>
          <w:b/>
          <w:sz w:val="22"/>
          <w:szCs w:val="22"/>
        </w:rPr>
      </w:pPr>
      <w:r w:rsidRPr="007632F6">
        <w:rPr>
          <w:rFonts w:asciiTheme="minorHAnsi" w:hAnsiTheme="minorHAnsi" w:cstheme="minorHAnsi"/>
          <w:b/>
          <w:sz w:val="22"/>
          <w:szCs w:val="22"/>
        </w:rPr>
        <w:t>Report:</w:t>
      </w:r>
      <w:r w:rsidRPr="007632F6">
        <w:rPr>
          <w:rFonts w:asciiTheme="minorHAnsi" w:hAnsiTheme="minorHAnsi" w:cstheme="minorHAnsi"/>
          <w:b/>
          <w:sz w:val="22"/>
          <w:szCs w:val="22"/>
        </w:rPr>
        <w:tab/>
      </w:r>
    </w:p>
    <w:p w14:paraId="21360EFC" w14:textId="77777777" w:rsidR="00E7673C" w:rsidRDefault="008E219E" w:rsidP="008E219E">
      <w:pPr>
        <w:pStyle w:val="Heading3"/>
        <w:spacing w:before="0" w:after="0"/>
        <w:rPr>
          <w:rFonts w:ascii="Times New Roman" w:hAnsi="Times New Roman"/>
          <w:sz w:val="24"/>
          <w:szCs w:val="24"/>
        </w:rPr>
        <w:sectPr w:rsidR="00E7673C">
          <w:pgSz w:w="12240" w:h="15840"/>
          <w:pgMar w:top="1440" w:right="1800" w:bottom="1440" w:left="1800" w:header="720" w:footer="720" w:gutter="0"/>
          <w:cols w:space="720"/>
          <w:docGrid w:linePitch="360"/>
        </w:sectPr>
      </w:pPr>
      <w:r w:rsidRPr="007632F6">
        <w:rPr>
          <w:rFonts w:asciiTheme="minorHAnsi" w:hAnsiTheme="minorHAnsi" w:cstheme="minorHAnsi"/>
          <w:b w:val="0"/>
          <w:sz w:val="22"/>
          <w:szCs w:val="22"/>
        </w:rPr>
        <w:t>The Steering Committee Chair and Board Liaisons will be responsible for keeping the Board of Directors informed concerning priorities, progress, and evaluation of priority area matters. The group will complete annual report requirements for the membership prior to the Annual Conference</w:t>
      </w:r>
      <w:r w:rsidRPr="007632F6">
        <w:rPr>
          <w:rFonts w:asciiTheme="minorHAnsi" w:hAnsiTheme="minorHAnsi" w:cstheme="minorHAnsi"/>
          <w:sz w:val="22"/>
          <w:szCs w:val="22"/>
        </w:rPr>
        <w:t>.</w:t>
      </w:r>
    </w:p>
    <w:tbl>
      <w:tblPr>
        <w:tblW w:w="14670" w:type="dxa"/>
        <w:tblInd w:w="-792" w:type="dxa"/>
        <w:tblLayout w:type="fixed"/>
        <w:tblLook w:val="0000" w:firstRow="0" w:lastRow="0" w:firstColumn="0" w:lastColumn="0" w:noHBand="0" w:noVBand="0"/>
      </w:tblPr>
      <w:tblGrid>
        <w:gridCol w:w="2880"/>
        <w:gridCol w:w="5220"/>
        <w:gridCol w:w="6570"/>
      </w:tblGrid>
      <w:tr w:rsidR="00E7673C" w:rsidRPr="00B66A0A" w14:paraId="68A007AB" w14:textId="77777777" w:rsidTr="00B17E58">
        <w:trPr>
          <w:cantSplit/>
          <w:tblHeader/>
        </w:trPr>
        <w:tc>
          <w:tcPr>
            <w:tcW w:w="14670" w:type="dxa"/>
            <w:gridSpan w:val="3"/>
            <w:tcBorders>
              <w:top w:val="single" w:sz="8" w:space="0" w:color="auto"/>
              <w:left w:val="single" w:sz="8" w:space="0" w:color="auto"/>
              <w:bottom w:val="single" w:sz="8" w:space="0" w:color="auto"/>
              <w:right w:val="single" w:sz="8" w:space="0" w:color="000000"/>
            </w:tcBorders>
          </w:tcPr>
          <w:p w14:paraId="31E99258" w14:textId="76184798" w:rsidR="00E7673C" w:rsidRPr="00E7673C" w:rsidRDefault="00E7673C" w:rsidP="00883ABA">
            <w:pPr>
              <w:widowControl w:val="0"/>
              <w:jc w:val="center"/>
              <w:rPr>
                <w:rFonts w:ascii="Calibri" w:hAnsi="Calibri" w:cs="Calibri"/>
                <w:b/>
                <w:bCs/>
                <w:szCs w:val="23"/>
              </w:rPr>
            </w:pPr>
            <w:r w:rsidRPr="00E7673C">
              <w:rPr>
                <w:rFonts w:ascii="Calibri" w:hAnsi="Calibri" w:cs="Calibri"/>
                <w:szCs w:val="23"/>
              </w:rPr>
              <w:lastRenderedPageBreak/>
              <w:br w:type="page"/>
            </w:r>
            <w:r>
              <w:rPr>
                <w:rFonts w:ascii="Calibri" w:hAnsi="Calibri" w:cs="Calibri"/>
                <w:b/>
                <w:bCs/>
              </w:rPr>
              <w:t>S&amp;RD</w:t>
            </w:r>
            <w:r w:rsidRPr="00E7673C">
              <w:rPr>
                <w:rFonts w:ascii="Calibri" w:hAnsi="Calibri" w:cs="Calibri"/>
                <w:b/>
                <w:bCs/>
              </w:rPr>
              <w:t xml:space="preserve"> Work Plan </w:t>
            </w:r>
            <w:r>
              <w:rPr>
                <w:rFonts w:ascii="Calibri" w:hAnsi="Calibri" w:cs="Calibri"/>
                <w:b/>
                <w:bCs/>
              </w:rPr>
              <w:t>July 1</w:t>
            </w:r>
            <w:r w:rsidRPr="00E7673C">
              <w:rPr>
                <w:rFonts w:ascii="Calibri" w:hAnsi="Calibri" w:cs="Calibri"/>
                <w:b/>
                <w:bCs/>
              </w:rPr>
              <w:t>, 201</w:t>
            </w:r>
            <w:r w:rsidR="00E9294F">
              <w:rPr>
                <w:rFonts w:ascii="Calibri" w:hAnsi="Calibri" w:cs="Calibri"/>
                <w:b/>
                <w:bCs/>
              </w:rPr>
              <w:t>9</w:t>
            </w:r>
            <w:r w:rsidRPr="00E7673C">
              <w:rPr>
                <w:rFonts w:ascii="Calibri" w:hAnsi="Calibri" w:cs="Calibri"/>
                <w:b/>
                <w:bCs/>
              </w:rPr>
              <w:t xml:space="preserve"> – June </w:t>
            </w:r>
            <w:r>
              <w:rPr>
                <w:rFonts w:ascii="Calibri" w:hAnsi="Calibri" w:cs="Calibri"/>
                <w:b/>
                <w:bCs/>
              </w:rPr>
              <w:t>30</w:t>
            </w:r>
            <w:r w:rsidRPr="00E7673C">
              <w:rPr>
                <w:rFonts w:ascii="Calibri" w:hAnsi="Calibri" w:cs="Calibri"/>
                <w:b/>
                <w:bCs/>
              </w:rPr>
              <w:t>, 20</w:t>
            </w:r>
            <w:r w:rsidR="00E9294F">
              <w:rPr>
                <w:rFonts w:ascii="Calibri" w:hAnsi="Calibri" w:cs="Calibri"/>
                <w:b/>
                <w:bCs/>
              </w:rPr>
              <w:t>2</w:t>
            </w:r>
            <w:r w:rsidR="00BA4D7F">
              <w:rPr>
                <w:rFonts w:ascii="Calibri" w:hAnsi="Calibri" w:cs="Calibri"/>
                <w:b/>
                <w:bCs/>
              </w:rPr>
              <w:t>0</w:t>
            </w:r>
          </w:p>
        </w:tc>
      </w:tr>
      <w:tr w:rsidR="00E7673C" w:rsidRPr="00B66A0A" w14:paraId="3405EB1D" w14:textId="77777777" w:rsidTr="00B17E58">
        <w:trPr>
          <w:cantSplit/>
          <w:trHeight w:val="509"/>
          <w:tblHeader/>
        </w:trPr>
        <w:tc>
          <w:tcPr>
            <w:tcW w:w="14670" w:type="dxa"/>
            <w:gridSpan w:val="3"/>
            <w:vMerge w:val="restart"/>
            <w:tcBorders>
              <w:top w:val="single" w:sz="8" w:space="0" w:color="auto"/>
              <w:left w:val="single" w:sz="8" w:space="0" w:color="auto"/>
              <w:bottom w:val="single" w:sz="8" w:space="0" w:color="000000"/>
              <w:right w:val="single" w:sz="8" w:space="0" w:color="000000"/>
            </w:tcBorders>
          </w:tcPr>
          <w:p w14:paraId="5E5312D2" w14:textId="77777777" w:rsidR="00E7673C" w:rsidRPr="00E7673C" w:rsidRDefault="00882D86" w:rsidP="00883ABA">
            <w:pPr>
              <w:widowControl w:val="0"/>
              <w:rPr>
                <w:rFonts w:ascii="Calibri" w:hAnsi="Calibri" w:cs="Calibri"/>
                <w:b/>
                <w:bCs/>
                <w:szCs w:val="23"/>
              </w:rPr>
            </w:pPr>
            <w:r>
              <w:rPr>
                <w:rFonts w:ascii="Calibri" w:hAnsi="Calibri" w:cs="Calibri"/>
                <w:b/>
                <w:bCs/>
                <w:szCs w:val="23"/>
              </w:rPr>
              <w:t xml:space="preserve">NAACCR SMP </w:t>
            </w:r>
            <w:r w:rsidR="00E7673C" w:rsidRPr="00E7673C">
              <w:rPr>
                <w:rFonts w:ascii="Calibri" w:hAnsi="Calibri" w:cs="Calibri"/>
                <w:b/>
                <w:bCs/>
                <w:szCs w:val="23"/>
              </w:rPr>
              <w:t xml:space="preserve">Goal </w:t>
            </w:r>
            <w:r w:rsidR="00E7673C">
              <w:rPr>
                <w:rFonts w:ascii="Calibri" w:hAnsi="Calibri" w:cs="Calibri"/>
                <w:b/>
                <w:bCs/>
                <w:szCs w:val="23"/>
              </w:rPr>
              <w:t>1</w:t>
            </w:r>
            <w:r w:rsidR="00E7673C" w:rsidRPr="00E7673C">
              <w:rPr>
                <w:rFonts w:ascii="Calibri" w:hAnsi="Calibri" w:cs="Calibri"/>
                <w:b/>
                <w:bCs/>
                <w:szCs w:val="23"/>
              </w:rPr>
              <w:t>:  PREPARE FOR THE CANCER SURVEILLANCE SYSTEM OF THE FUTURE – A</w:t>
            </w:r>
            <w:r w:rsidR="00E7673C">
              <w:rPr>
                <w:rFonts w:ascii="Calibri" w:hAnsi="Calibri" w:cs="Calibri"/>
                <w:b/>
                <w:bCs/>
                <w:szCs w:val="23"/>
              </w:rPr>
              <w:t xml:space="preserve"> </w:t>
            </w:r>
            <w:r w:rsidR="00E7673C" w:rsidRPr="00E7673C">
              <w:rPr>
                <w:rFonts w:ascii="Calibri" w:hAnsi="Calibri" w:cs="Calibri"/>
                <w:b/>
                <w:bCs/>
                <w:szCs w:val="23"/>
              </w:rPr>
              <w:t>SYSTEM THAT IS MORE TIMELY, RESPONSIVE, AND ADAPTABLE TO CHANGE.</w:t>
            </w:r>
          </w:p>
        </w:tc>
      </w:tr>
      <w:tr w:rsidR="00E7673C" w:rsidRPr="00B66A0A" w14:paraId="0A9479EC" w14:textId="77777777" w:rsidTr="00B17E58">
        <w:trPr>
          <w:cantSplit/>
          <w:trHeight w:val="509"/>
          <w:tblHeader/>
        </w:trPr>
        <w:tc>
          <w:tcPr>
            <w:tcW w:w="14670" w:type="dxa"/>
            <w:gridSpan w:val="3"/>
            <w:vMerge/>
            <w:tcBorders>
              <w:top w:val="single" w:sz="8" w:space="0" w:color="auto"/>
              <w:left w:val="single" w:sz="8" w:space="0" w:color="auto"/>
              <w:bottom w:val="single" w:sz="8" w:space="0" w:color="000000"/>
              <w:right w:val="single" w:sz="8" w:space="0" w:color="000000"/>
            </w:tcBorders>
            <w:vAlign w:val="center"/>
          </w:tcPr>
          <w:p w14:paraId="621995CB" w14:textId="77777777" w:rsidR="00E7673C" w:rsidRPr="00E7673C" w:rsidRDefault="00E7673C" w:rsidP="00883ABA">
            <w:pPr>
              <w:widowControl w:val="0"/>
              <w:rPr>
                <w:rFonts w:ascii="Calibri" w:hAnsi="Calibri" w:cs="Calibri"/>
                <w:b/>
                <w:bCs/>
                <w:szCs w:val="23"/>
              </w:rPr>
            </w:pPr>
          </w:p>
        </w:tc>
      </w:tr>
      <w:tr w:rsidR="00874BC1" w:rsidRPr="00B66A0A" w14:paraId="549E563B" w14:textId="77777777" w:rsidTr="00B17E58">
        <w:trPr>
          <w:cantSplit/>
          <w:tblHeader/>
        </w:trPr>
        <w:tc>
          <w:tcPr>
            <w:tcW w:w="2880" w:type="dxa"/>
            <w:tcBorders>
              <w:top w:val="nil"/>
              <w:left w:val="single" w:sz="8" w:space="0" w:color="auto"/>
              <w:bottom w:val="single" w:sz="8" w:space="0" w:color="auto"/>
              <w:right w:val="single" w:sz="8" w:space="0" w:color="auto"/>
            </w:tcBorders>
          </w:tcPr>
          <w:p w14:paraId="7D15F8CB" w14:textId="77777777" w:rsidR="00874BC1" w:rsidRPr="00E7673C" w:rsidRDefault="00874BC1" w:rsidP="00883ABA">
            <w:pPr>
              <w:widowControl w:val="0"/>
              <w:rPr>
                <w:rFonts w:ascii="Calibri" w:hAnsi="Calibri" w:cs="Calibri"/>
                <w:b/>
                <w:bCs/>
                <w:szCs w:val="23"/>
              </w:rPr>
            </w:pPr>
            <w:r w:rsidRPr="00E7673C">
              <w:rPr>
                <w:rFonts w:ascii="Calibri" w:hAnsi="Calibri" w:cs="Calibri"/>
                <w:b/>
                <w:bCs/>
                <w:szCs w:val="23"/>
              </w:rPr>
              <w:t>Objectives</w:t>
            </w:r>
          </w:p>
        </w:tc>
        <w:tc>
          <w:tcPr>
            <w:tcW w:w="5220" w:type="dxa"/>
            <w:tcBorders>
              <w:top w:val="nil"/>
              <w:left w:val="nil"/>
              <w:bottom w:val="single" w:sz="8" w:space="0" w:color="auto"/>
              <w:right w:val="single" w:sz="8" w:space="0" w:color="auto"/>
            </w:tcBorders>
          </w:tcPr>
          <w:p w14:paraId="4EF68E70" w14:textId="77777777" w:rsidR="00874BC1" w:rsidRPr="00E7673C" w:rsidRDefault="00874BC1" w:rsidP="00883ABA">
            <w:pPr>
              <w:widowControl w:val="0"/>
              <w:rPr>
                <w:rFonts w:ascii="Calibri" w:hAnsi="Calibri" w:cs="Calibri"/>
                <w:b/>
                <w:bCs/>
                <w:szCs w:val="23"/>
              </w:rPr>
            </w:pPr>
            <w:r>
              <w:rPr>
                <w:rFonts w:ascii="Calibri" w:hAnsi="Calibri" w:cs="Calibri"/>
                <w:b/>
                <w:bCs/>
                <w:szCs w:val="23"/>
              </w:rPr>
              <w:t>Work Groups</w:t>
            </w:r>
            <w:r w:rsidRPr="00E7673C">
              <w:rPr>
                <w:rFonts w:ascii="Calibri" w:hAnsi="Calibri" w:cs="Calibri"/>
                <w:b/>
                <w:bCs/>
                <w:szCs w:val="23"/>
              </w:rPr>
              <w:t xml:space="preserve"> </w:t>
            </w:r>
            <w:r>
              <w:rPr>
                <w:rFonts w:ascii="Calibri" w:hAnsi="Calibri" w:cs="Calibri"/>
                <w:b/>
                <w:bCs/>
                <w:szCs w:val="23"/>
              </w:rPr>
              <w:t>/Advisory Groups</w:t>
            </w:r>
          </w:p>
        </w:tc>
        <w:tc>
          <w:tcPr>
            <w:tcW w:w="6570" w:type="dxa"/>
            <w:tcBorders>
              <w:top w:val="nil"/>
              <w:left w:val="nil"/>
              <w:bottom w:val="single" w:sz="8" w:space="0" w:color="auto"/>
              <w:right w:val="single" w:sz="8" w:space="0" w:color="auto"/>
            </w:tcBorders>
          </w:tcPr>
          <w:p w14:paraId="63C340EB" w14:textId="77777777" w:rsidR="00874BC1" w:rsidRPr="00E7673C" w:rsidRDefault="00874BC1" w:rsidP="00883ABA">
            <w:pPr>
              <w:widowControl w:val="0"/>
              <w:rPr>
                <w:rFonts w:ascii="Calibri" w:hAnsi="Calibri" w:cs="Calibri"/>
                <w:b/>
                <w:bCs/>
                <w:szCs w:val="23"/>
              </w:rPr>
            </w:pPr>
            <w:r>
              <w:rPr>
                <w:rFonts w:ascii="Calibri" w:hAnsi="Calibri" w:cs="Calibri"/>
                <w:b/>
                <w:bCs/>
                <w:szCs w:val="23"/>
              </w:rPr>
              <w:t>Work group activities</w:t>
            </w:r>
          </w:p>
        </w:tc>
      </w:tr>
      <w:tr w:rsidR="00874BC1" w:rsidRPr="00B66A0A" w14:paraId="53FC3B2A"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595EED9F" w14:textId="77777777" w:rsidR="00874BC1" w:rsidRPr="00E7673C" w:rsidRDefault="00874BC1" w:rsidP="00883ABA">
            <w:pPr>
              <w:widowControl w:val="0"/>
              <w:ind w:left="-113"/>
              <w:rPr>
                <w:rFonts w:ascii="Calibri" w:eastAsia="@PMingLiU" w:hAnsi="Calibri" w:cs="Calibri"/>
                <w:szCs w:val="23"/>
              </w:rPr>
            </w:pPr>
            <w:r w:rsidRPr="00E7673C">
              <w:rPr>
                <w:rFonts w:ascii="Calibri" w:eastAsia="@PMingLiU" w:hAnsi="Calibri" w:cs="Calibri"/>
                <w:szCs w:val="23"/>
              </w:rPr>
              <w:t>1.  Analyze how cancer surveillance systems will interface with electronic</w:t>
            </w:r>
          </w:p>
          <w:p w14:paraId="29CEE4F3" w14:textId="77777777" w:rsidR="00874BC1" w:rsidRPr="00E7673C" w:rsidRDefault="00874BC1" w:rsidP="00883ABA">
            <w:pPr>
              <w:widowControl w:val="0"/>
              <w:tabs>
                <w:tab w:val="left" w:pos="72"/>
              </w:tabs>
              <w:ind w:left="-72"/>
              <w:rPr>
                <w:rFonts w:ascii="Calibri" w:hAnsi="Calibri" w:cs="Calibri"/>
                <w:szCs w:val="23"/>
              </w:rPr>
            </w:pPr>
            <w:r w:rsidRPr="00E7673C">
              <w:rPr>
                <w:rFonts w:ascii="Calibri" w:eastAsia="@PMingLiU" w:hAnsi="Calibri" w:cs="Calibri"/>
                <w:szCs w:val="23"/>
              </w:rPr>
              <w:t>health data and continue to assess semantic interoperability issues.</w:t>
            </w:r>
          </w:p>
        </w:tc>
        <w:tc>
          <w:tcPr>
            <w:tcW w:w="5220" w:type="dxa"/>
            <w:tcBorders>
              <w:top w:val="single" w:sz="8" w:space="0" w:color="auto"/>
              <w:left w:val="nil"/>
              <w:bottom w:val="single" w:sz="8" w:space="0" w:color="auto"/>
              <w:right w:val="single" w:sz="8" w:space="0" w:color="auto"/>
            </w:tcBorders>
          </w:tcPr>
          <w:p w14:paraId="0131FF3F" w14:textId="77777777" w:rsidR="00874BC1" w:rsidRPr="00E7673C" w:rsidRDefault="00874BC1" w:rsidP="00883ABA">
            <w:pPr>
              <w:widowControl w:val="0"/>
              <w:ind w:left="-115"/>
              <w:rPr>
                <w:rFonts w:ascii="Calibri" w:eastAsia="@PMingLiU" w:hAnsi="Calibri" w:cs="Calibri"/>
                <w:szCs w:val="23"/>
              </w:rPr>
            </w:pPr>
            <w:r w:rsidRPr="00E7673C">
              <w:rPr>
                <w:rFonts w:ascii="Calibri" w:eastAsia="@PMingLiU" w:hAnsi="Calibri" w:cs="Calibri"/>
                <w:szCs w:val="23"/>
              </w:rPr>
              <w:t xml:space="preserve">1. </w:t>
            </w:r>
            <w:r>
              <w:rPr>
                <w:rFonts w:ascii="Calibri" w:eastAsia="@PMingLiU" w:hAnsi="Calibri" w:cs="Calibri"/>
                <w:szCs w:val="23"/>
              </w:rPr>
              <w:t>Physician Reporting WG</w:t>
            </w:r>
            <w:r w:rsidRPr="00E7673C">
              <w:rPr>
                <w:rFonts w:ascii="Calibri" w:eastAsia="@PMingLiU" w:hAnsi="Calibri" w:cs="Calibri"/>
                <w:szCs w:val="23"/>
              </w:rPr>
              <w:br/>
            </w:r>
          </w:p>
        </w:tc>
        <w:tc>
          <w:tcPr>
            <w:tcW w:w="6570" w:type="dxa"/>
            <w:tcBorders>
              <w:top w:val="single" w:sz="8" w:space="0" w:color="auto"/>
              <w:left w:val="nil"/>
              <w:bottom w:val="single" w:sz="8" w:space="0" w:color="auto"/>
              <w:right w:val="single" w:sz="8" w:space="0" w:color="auto"/>
            </w:tcBorders>
          </w:tcPr>
          <w:p w14:paraId="7619B381" w14:textId="77777777" w:rsidR="00E8222D" w:rsidRPr="008C6B82" w:rsidRDefault="00E8222D" w:rsidP="00883ABA">
            <w:pPr>
              <w:pStyle w:val="ListParagraph"/>
              <w:widowControl w:val="0"/>
              <w:numPr>
                <w:ilvl w:val="0"/>
                <w:numId w:val="15"/>
              </w:numPr>
              <w:rPr>
                <w:rFonts w:eastAsia="@PMingLiU" w:cs="Calibri"/>
              </w:rPr>
            </w:pPr>
            <w:r w:rsidRPr="0079380D">
              <w:rPr>
                <w:rFonts w:eastAsia="@PMingLiU" w:cs="Calibri"/>
                <w:sz w:val="24"/>
                <w:szCs w:val="24"/>
              </w:rPr>
              <w:t>Identify existing software and/or develop software requirements and tools needed for central registries to implement electronic physician reporting.</w:t>
            </w:r>
          </w:p>
          <w:p w14:paraId="53084EBB" w14:textId="77777777" w:rsidR="00E8222D" w:rsidRPr="008C6B82" w:rsidRDefault="00E8222D" w:rsidP="00883ABA">
            <w:pPr>
              <w:pStyle w:val="ListParagraph"/>
              <w:widowControl w:val="0"/>
              <w:numPr>
                <w:ilvl w:val="0"/>
                <w:numId w:val="15"/>
              </w:numPr>
              <w:rPr>
                <w:rFonts w:eastAsia="@PMingLiU" w:cs="Calibri"/>
              </w:rPr>
            </w:pPr>
            <w:r w:rsidRPr="0079380D">
              <w:rPr>
                <w:rFonts w:eastAsia="@PMingLiU" w:cs="Calibri"/>
                <w:sz w:val="24"/>
                <w:szCs w:val="24"/>
              </w:rPr>
              <w:t>Develop guideline documents to assist central registries in addressing issues related to physician reporting.</w:t>
            </w:r>
          </w:p>
          <w:p w14:paraId="00C12C7C" w14:textId="77777777" w:rsidR="00E8222D" w:rsidRPr="008C6B82" w:rsidRDefault="00E8222D" w:rsidP="00883ABA">
            <w:pPr>
              <w:pStyle w:val="ListParagraph"/>
              <w:widowControl w:val="0"/>
              <w:numPr>
                <w:ilvl w:val="0"/>
                <w:numId w:val="15"/>
              </w:numPr>
              <w:rPr>
                <w:rFonts w:eastAsia="@PMingLiU" w:cs="Calibri"/>
              </w:rPr>
            </w:pPr>
            <w:r w:rsidRPr="0079380D">
              <w:rPr>
                <w:rFonts w:eastAsia="@PMingLiU" w:cs="Calibri"/>
                <w:sz w:val="24"/>
                <w:szCs w:val="24"/>
              </w:rPr>
              <w:t>Develop education and communication tools for central registries.</w:t>
            </w:r>
          </w:p>
          <w:p w14:paraId="0DD44EA4" w14:textId="77777777" w:rsidR="00E8222D" w:rsidRPr="008C6B82" w:rsidRDefault="00E8222D" w:rsidP="00883ABA">
            <w:pPr>
              <w:pStyle w:val="ListParagraph"/>
              <w:widowControl w:val="0"/>
              <w:numPr>
                <w:ilvl w:val="0"/>
                <w:numId w:val="15"/>
              </w:numPr>
              <w:rPr>
                <w:rFonts w:eastAsia="@PMingLiU" w:cs="Calibri"/>
              </w:rPr>
            </w:pPr>
            <w:r w:rsidRPr="0079380D">
              <w:rPr>
                <w:rFonts w:eastAsia="@PMingLiU" w:cs="Calibri"/>
                <w:sz w:val="24"/>
                <w:szCs w:val="24"/>
              </w:rPr>
              <w:t>Establish communications with vendors to address technical issues related to EHR event reports.</w:t>
            </w:r>
          </w:p>
          <w:p w14:paraId="7244C9BD" w14:textId="2F47788E" w:rsidR="00874BC1" w:rsidRPr="00E7673C" w:rsidRDefault="00E8222D" w:rsidP="00883ABA">
            <w:pPr>
              <w:pStyle w:val="ListParagraph"/>
              <w:widowControl w:val="0"/>
              <w:numPr>
                <w:ilvl w:val="0"/>
                <w:numId w:val="15"/>
              </w:numPr>
              <w:ind w:left="605"/>
              <w:rPr>
                <w:rFonts w:eastAsia="@PMingLiU" w:cs="Calibri"/>
                <w:szCs w:val="23"/>
              </w:rPr>
            </w:pPr>
            <w:r w:rsidRPr="0079380D">
              <w:rPr>
                <w:rFonts w:eastAsia="@PMingLiU" w:cs="Calibri"/>
                <w:sz w:val="24"/>
                <w:szCs w:val="24"/>
              </w:rPr>
              <w:t xml:space="preserve">Provide a forum for central registries to learn, share experiences, challenges, and best practices. </w:t>
            </w:r>
          </w:p>
        </w:tc>
      </w:tr>
      <w:tr w:rsidR="00874BC1" w:rsidRPr="00B66A0A" w14:paraId="4C199D32"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129E86A8" w14:textId="77777777" w:rsidR="00874BC1" w:rsidRPr="00E7673C" w:rsidRDefault="00874BC1" w:rsidP="00883ABA">
            <w:pPr>
              <w:widowControl w:val="0"/>
              <w:ind w:left="-113"/>
              <w:rPr>
                <w:rFonts w:ascii="Calibri" w:hAnsi="Calibri" w:cs="Calibri"/>
                <w:b/>
                <w:bCs/>
                <w:szCs w:val="23"/>
              </w:rPr>
            </w:pPr>
            <w:r w:rsidRPr="00E7673C">
              <w:rPr>
                <w:rFonts w:ascii="Calibri" w:eastAsia="@PMingLiU" w:hAnsi="Calibri" w:cs="Calibri"/>
                <w:szCs w:val="23"/>
              </w:rPr>
              <w:lastRenderedPageBreak/>
              <w:t>2. Engage and remain current with national/international efforts regarding</w:t>
            </w:r>
            <w:r>
              <w:rPr>
                <w:rFonts w:ascii="Calibri" w:eastAsia="@PMingLiU" w:hAnsi="Calibri" w:cs="Calibri"/>
                <w:szCs w:val="23"/>
              </w:rPr>
              <w:t xml:space="preserve"> </w:t>
            </w:r>
            <w:r w:rsidRPr="00E7673C">
              <w:rPr>
                <w:rFonts w:ascii="Calibri" w:eastAsia="@PMingLiU" w:hAnsi="Calibri" w:cs="Calibri"/>
                <w:szCs w:val="23"/>
              </w:rPr>
              <w:t>electronic health records and other IT technologies.</w:t>
            </w:r>
          </w:p>
        </w:tc>
        <w:tc>
          <w:tcPr>
            <w:tcW w:w="5220" w:type="dxa"/>
            <w:tcBorders>
              <w:top w:val="single" w:sz="8" w:space="0" w:color="auto"/>
              <w:left w:val="nil"/>
              <w:bottom w:val="single" w:sz="8" w:space="0" w:color="auto"/>
              <w:right w:val="single" w:sz="8" w:space="0" w:color="auto"/>
            </w:tcBorders>
          </w:tcPr>
          <w:p w14:paraId="66A08C55" w14:textId="62104E5C" w:rsidR="00874BC1" w:rsidRPr="00E7673C" w:rsidRDefault="00874BC1" w:rsidP="00883ABA">
            <w:pPr>
              <w:widowControl w:val="0"/>
              <w:ind w:left="-115"/>
              <w:rPr>
                <w:rFonts w:ascii="Calibri" w:eastAsia="@PMingLiU" w:hAnsi="Calibri" w:cs="Calibri"/>
                <w:szCs w:val="23"/>
              </w:rPr>
            </w:pPr>
            <w:r>
              <w:rPr>
                <w:rFonts w:ascii="Calibri" w:eastAsia="@PMingLiU" w:hAnsi="Calibri" w:cs="Calibri"/>
                <w:szCs w:val="23"/>
              </w:rPr>
              <w:t xml:space="preserve">1. </w:t>
            </w:r>
            <w:r w:rsidR="00E9294F">
              <w:rPr>
                <w:rFonts w:ascii="Calibri" w:eastAsia="@PMingLiU" w:hAnsi="Calibri" w:cs="Calibri"/>
                <w:szCs w:val="23"/>
              </w:rPr>
              <w:t>Cancer Informatics Advisory Group</w:t>
            </w:r>
          </w:p>
        </w:tc>
        <w:tc>
          <w:tcPr>
            <w:tcW w:w="6570" w:type="dxa"/>
            <w:tcBorders>
              <w:top w:val="single" w:sz="8" w:space="0" w:color="auto"/>
              <w:left w:val="nil"/>
              <w:bottom w:val="single" w:sz="8" w:space="0" w:color="auto"/>
              <w:right w:val="single" w:sz="8" w:space="0" w:color="auto"/>
            </w:tcBorders>
          </w:tcPr>
          <w:p w14:paraId="458DACFA" w14:textId="0026F818" w:rsidR="00C56CD1" w:rsidRDefault="00C56CD1" w:rsidP="00C56CD1">
            <w:pPr>
              <w:pStyle w:val="ListParagraph"/>
              <w:widowControl w:val="0"/>
              <w:numPr>
                <w:ilvl w:val="0"/>
                <w:numId w:val="20"/>
              </w:numPr>
              <w:tabs>
                <w:tab w:val="left" w:pos="147"/>
              </w:tabs>
              <w:rPr>
                <w:rFonts w:eastAsia="@PMingLiU" w:cs="Calibri"/>
                <w:sz w:val="24"/>
                <w:szCs w:val="24"/>
              </w:rPr>
            </w:pPr>
            <w:r w:rsidRPr="00485DF4">
              <w:rPr>
                <w:rFonts w:eastAsia="@PMingLiU" w:cs="Calibri"/>
                <w:sz w:val="24"/>
                <w:szCs w:val="24"/>
              </w:rPr>
              <w:t>Restructure workgroup and rebrand as the Cancer Informatics Advisory Group</w:t>
            </w:r>
            <w:r>
              <w:rPr>
                <w:rFonts w:eastAsia="@PMingLiU" w:cs="Calibri"/>
                <w:sz w:val="24"/>
                <w:szCs w:val="24"/>
              </w:rPr>
              <w:t>.</w:t>
            </w:r>
          </w:p>
          <w:p w14:paraId="720857C1" w14:textId="7C511C30" w:rsidR="00C56CD1" w:rsidRDefault="00C56CD1" w:rsidP="00C56CD1">
            <w:pPr>
              <w:pStyle w:val="ListParagraph"/>
              <w:widowControl w:val="0"/>
              <w:numPr>
                <w:ilvl w:val="1"/>
                <w:numId w:val="20"/>
              </w:numPr>
              <w:tabs>
                <w:tab w:val="left" w:pos="147"/>
              </w:tabs>
              <w:rPr>
                <w:rFonts w:eastAsia="@PMingLiU" w:cs="Calibri"/>
                <w:sz w:val="24"/>
                <w:szCs w:val="24"/>
              </w:rPr>
            </w:pPr>
            <w:r>
              <w:rPr>
                <w:rFonts w:eastAsia="@PMingLiU" w:cs="Calibri"/>
                <w:sz w:val="24"/>
                <w:szCs w:val="24"/>
              </w:rPr>
              <w:t>Change leadership structure to identify a permanent chair or co-chairs</w:t>
            </w:r>
          </w:p>
          <w:p w14:paraId="4EB35027" w14:textId="0667CD02" w:rsidR="00C56CD1" w:rsidRDefault="00C56CD1" w:rsidP="00C56CD1">
            <w:pPr>
              <w:pStyle w:val="ListParagraph"/>
              <w:widowControl w:val="0"/>
              <w:numPr>
                <w:ilvl w:val="1"/>
                <w:numId w:val="20"/>
              </w:numPr>
              <w:tabs>
                <w:tab w:val="left" w:pos="147"/>
              </w:tabs>
              <w:rPr>
                <w:rFonts w:eastAsia="@PMingLiU" w:cs="Calibri"/>
                <w:sz w:val="24"/>
                <w:szCs w:val="24"/>
              </w:rPr>
            </w:pPr>
            <w:r>
              <w:rPr>
                <w:rFonts w:eastAsia="@PMingLiU" w:cs="Calibri"/>
                <w:sz w:val="24"/>
                <w:szCs w:val="24"/>
              </w:rPr>
              <w:t>Develop a structured monthly meeting plan with agenda</w:t>
            </w:r>
          </w:p>
          <w:p w14:paraId="57BA4253" w14:textId="390F3AA7" w:rsidR="0066042B" w:rsidRPr="00485DF4" w:rsidRDefault="0066042B" w:rsidP="00485DF4">
            <w:pPr>
              <w:pStyle w:val="ListParagraph"/>
              <w:widowControl w:val="0"/>
              <w:numPr>
                <w:ilvl w:val="1"/>
                <w:numId w:val="20"/>
              </w:numPr>
              <w:tabs>
                <w:tab w:val="left" w:pos="147"/>
              </w:tabs>
              <w:rPr>
                <w:rFonts w:eastAsia="@PMingLiU" w:cs="Calibri"/>
                <w:szCs w:val="24"/>
              </w:rPr>
            </w:pPr>
            <w:r>
              <w:rPr>
                <w:rFonts w:eastAsia="@PMingLiU" w:cs="Calibri"/>
                <w:sz w:val="24"/>
                <w:szCs w:val="24"/>
              </w:rPr>
              <w:t>Identify and recruit new members as needed</w:t>
            </w:r>
          </w:p>
          <w:p w14:paraId="2F438387" w14:textId="5164605B" w:rsidR="0066042B" w:rsidRPr="004B65BF" w:rsidRDefault="00870E80" w:rsidP="004B65BF">
            <w:pPr>
              <w:pStyle w:val="ListParagraph"/>
              <w:widowControl w:val="0"/>
              <w:numPr>
                <w:ilvl w:val="0"/>
                <w:numId w:val="20"/>
              </w:numPr>
              <w:tabs>
                <w:tab w:val="left" w:pos="147"/>
              </w:tabs>
              <w:rPr>
                <w:rFonts w:eastAsia="@PMingLiU" w:cs="Calibri"/>
              </w:rPr>
            </w:pPr>
            <w:r w:rsidRPr="00472E73">
              <w:rPr>
                <w:rFonts w:eastAsia="@PMingLiU" w:cs="Calibri"/>
                <w:sz w:val="24"/>
                <w:szCs w:val="24"/>
              </w:rPr>
              <w:t xml:space="preserve">Advise and alert S&amp;RD Steering Committee to upcoming initiatives that may impact registry operations </w:t>
            </w:r>
            <w:r>
              <w:rPr>
                <w:rFonts w:eastAsia="@PMingLiU" w:cs="Calibri"/>
                <w:sz w:val="24"/>
                <w:szCs w:val="24"/>
              </w:rPr>
              <w:t>and</w:t>
            </w:r>
            <w:r w:rsidRPr="00472E73">
              <w:rPr>
                <w:rFonts w:eastAsia="@PMingLiU" w:cs="Calibri"/>
                <w:sz w:val="24"/>
                <w:szCs w:val="24"/>
              </w:rPr>
              <w:t xml:space="preserve"> development.</w:t>
            </w:r>
          </w:p>
        </w:tc>
      </w:tr>
      <w:tr w:rsidR="00802BEA" w:rsidRPr="00B66A0A" w14:paraId="2F15A018"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0DB06820" w14:textId="77777777" w:rsidR="00802BEA" w:rsidRPr="00E7673C" w:rsidRDefault="00802BEA" w:rsidP="00883ABA">
            <w:pPr>
              <w:widowControl w:val="0"/>
              <w:ind w:left="-113"/>
              <w:rPr>
                <w:rFonts w:ascii="Calibri" w:eastAsia="@PMingLiU" w:hAnsi="Calibri" w:cs="Calibri"/>
                <w:szCs w:val="23"/>
              </w:rPr>
            </w:pPr>
          </w:p>
        </w:tc>
        <w:tc>
          <w:tcPr>
            <w:tcW w:w="5220" w:type="dxa"/>
            <w:tcBorders>
              <w:top w:val="single" w:sz="8" w:space="0" w:color="auto"/>
              <w:left w:val="nil"/>
              <w:bottom w:val="single" w:sz="8" w:space="0" w:color="auto"/>
              <w:right w:val="single" w:sz="8" w:space="0" w:color="auto"/>
            </w:tcBorders>
          </w:tcPr>
          <w:p w14:paraId="439748C0" w14:textId="77777777" w:rsidR="00802BEA" w:rsidRDefault="00802BEA" w:rsidP="00883ABA">
            <w:pPr>
              <w:widowControl w:val="0"/>
              <w:ind w:left="-115"/>
              <w:rPr>
                <w:rFonts w:ascii="Calibri" w:eastAsia="@PMingLiU" w:hAnsi="Calibri" w:cs="Calibri"/>
                <w:szCs w:val="23"/>
              </w:rPr>
            </w:pPr>
            <w:r>
              <w:rPr>
                <w:rFonts w:ascii="Calibri" w:eastAsia="@PMingLiU" w:hAnsi="Calibri" w:cs="Calibri"/>
                <w:szCs w:val="23"/>
              </w:rPr>
              <w:t>2. EHR Reporting and Volume II Harmonization Task Force</w:t>
            </w:r>
          </w:p>
        </w:tc>
        <w:tc>
          <w:tcPr>
            <w:tcW w:w="6570" w:type="dxa"/>
            <w:tcBorders>
              <w:top w:val="single" w:sz="8" w:space="0" w:color="auto"/>
              <w:left w:val="nil"/>
              <w:bottom w:val="single" w:sz="8" w:space="0" w:color="auto"/>
              <w:right w:val="single" w:sz="8" w:space="0" w:color="auto"/>
            </w:tcBorders>
          </w:tcPr>
          <w:p w14:paraId="1DCEBF46" w14:textId="77777777" w:rsidR="008C6B82" w:rsidRDefault="008C6B82" w:rsidP="00883ABA">
            <w:pPr>
              <w:pStyle w:val="ListParagraph"/>
              <w:widowControl w:val="0"/>
              <w:numPr>
                <w:ilvl w:val="0"/>
                <w:numId w:val="17"/>
              </w:numPr>
              <w:tabs>
                <w:tab w:val="left" w:pos="147"/>
              </w:tabs>
              <w:rPr>
                <w:rFonts w:eastAsia="@PMingLiU" w:cs="Calibri"/>
              </w:rPr>
            </w:pPr>
            <w:r w:rsidRPr="0079380D">
              <w:rPr>
                <w:rFonts w:eastAsia="@PMingLiU" w:cs="Calibri"/>
                <w:sz w:val="24"/>
                <w:szCs w:val="24"/>
              </w:rPr>
              <w:t>Make recommendations to the standard setting organization that is the source of the standard for existing data elements and/or NAACCR for new data elements.</w:t>
            </w:r>
          </w:p>
          <w:p w14:paraId="1F8CABE3" w14:textId="77777777" w:rsidR="00AD3B85" w:rsidRDefault="00AD3B85" w:rsidP="00883ABA">
            <w:pPr>
              <w:pStyle w:val="ListParagraph"/>
              <w:widowControl w:val="0"/>
              <w:numPr>
                <w:ilvl w:val="1"/>
                <w:numId w:val="17"/>
              </w:numPr>
              <w:tabs>
                <w:tab w:val="left" w:pos="147"/>
              </w:tabs>
              <w:rPr>
                <w:rFonts w:eastAsia="@PMingLiU" w:cs="Calibri"/>
              </w:rPr>
            </w:pPr>
            <w:r>
              <w:rPr>
                <w:rFonts w:eastAsia="@PMingLiU" w:cs="Calibri"/>
                <w:sz w:val="24"/>
                <w:szCs w:val="24"/>
              </w:rPr>
              <w:t>Evaluate the need to revise/add data elements based on current medical practice.</w:t>
            </w:r>
          </w:p>
          <w:p w14:paraId="72AAD391" w14:textId="77777777" w:rsidR="00AD3B85" w:rsidRDefault="00AD3B85" w:rsidP="00883ABA">
            <w:pPr>
              <w:pStyle w:val="ListParagraph"/>
              <w:widowControl w:val="0"/>
              <w:numPr>
                <w:ilvl w:val="1"/>
                <w:numId w:val="17"/>
              </w:numPr>
              <w:tabs>
                <w:tab w:val="left" w:pos="147"/>
              </w:tabs>
              <w:rPr>
                <w:rFonts w:eastAsia="@PMingLiU" w:cs="Calibri"/>
              </w:rPr>
            </w:pPr>
            <w:r>
              <w:rPr>
                <w:rFonts w:eastAsia="@PMingLiU" w:cs="Calibri"/>
                <w:sz w:val="24"/>
                <w:szCs w:val="24"/>
              </w:rPr>
              <w:t>Complete the feasibility analysis form, as needed.</w:t>
            </w:r>
          </w:p>
          <w:p w14:paraId="1E83530B" w14:textId="77777777" w:rsidR="00AD3B85" w:rsidRPr="0079380D" w:rsidRDefault="00AD3B85" w:rsidP="00883ABA">
            <w:pPr>
              <w:pStyle w:val="ListParagraph"/>
              <w:widowControl w:val="0"/>
              <w:numPr>
                <w:ilvl w:val="0"/>
                <w:numId w:val="17"/>
              </w:numPr>
              <w:tabs>
                <w:tab w:val="left" w:pos="147"/>
              </w:tabs>
              <w:rPr>
                <w:rFonts w:eastAsia="@PMingLiU" w:cs="Calibri"/>
              </w:rPr>
            </w:pPr>
            <w:r>
              <w:rPr>
                <w:rFonts w:eastAsia="@PMingLiU" w:cs="Calibri"/>
                <w:sz w:val="24"/>
                <w:szCs w:val="24"/>
              </w:rPr>
              <w:t>Propose revisions to Volume II data element descriptions and rationales to use general terms.</w:t>
            </w:r>
          </w:p>
        </w:tc>
      </w:tr>
      <w:tr w:rsidR="00802BEA" w:rsidRPr="00B66A0A" w14:paraId="3950F340"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6BAB7D0D" w14:textId="77777777" w:rsidR="00802BEA" w:rsidRPr="00E7673C" w:rsidRDefault="00802BEA" w:rsidP="00883ABA">
            <w:pPr>
              <w:widowControl w:val="0"/>
              <w:ind w:left="-113"/>
              <w:rPr>
                <w:rFonts w:ascii="Calibri" w:eastAsia="@PMingLiU" w:hAnsi="Calibri" w:cs="Calibri"/>
                <w:szCs w:val="23"/>
              </w:rPr>
            </w:pPr>
          </w:p>
        </w:tc>
        <w:tc>
          <w:tcPr>
            <w:tcW w:w="5220" w:type="dxa"/>
            <w:tcBorders>
              <w:top w:val="single" w:sz="8" w:space="0" w:color="auto"/>
              <w:left w:val="nil"/>
              <w:bottom w:val="single" w:sz="8" w:space="0" w:color="auto"/>
              <w:right w:val="single" w:sz="8" w:space="0" w:color="auto"/>
            </w:tcBorders>
          </w:tcPr>
          <w:p w14:paraId="2CE94EBD" w14:textId="77777777" w:rsidR="00802BEA" w:rsidRDefault="00802BEA" w:rsidP="00883ABA">
            <w:pPr>
              <w:widowControl w:val="0"/>
              <w:ind w:left="-115"/>
              <w:rPr>
                <w:rFonts w:ascii="Calibri" w:eastAsia="@PMingLiU" w:hAnsi="Calibri" w:cs="Calibri"/>
                <w:szCs w:val="23"/>
              </w:rPr>
            </w:pPr>
            <w:r>
              <w:rPr>
                <w:rFonts w:ascii="Calibri" w:eastAsia="@PMingLiU" w:hAnsi="Calibri" w:cs="Calibri"/>
                <w:szCs w:val="23"/>
              </w:rPr>
              <w:t>3. Data Security Work Group</w:t>
            </w:r>
          </w:p>
        </w:tc>
        <w:tc>
          <w:tcPr>
            <w:tcW w:w="6570" w:type="dxa"/>
            <w:tcBorders>
              <w:top w:val="single" w:sz="8" w:space="0" w:color="auto"/>
              <w:left w:val="nil"/>
              <w:bottom w:val="single" w:sz="8" w:space="0" w:color="auto"/>
              <w:right w:val="single" w:sz="8" w:space="0" w:color="auto"/>
            </w:tcBorders>
          </w:tcPr>
          <w:p w14:paraId="0D7E7B9C" w14:textId="77777777" w:rsidR="00802BEA" w:rsidRPr="0079380D" w:rsidRDefault="008C6B82" w:rsidP="00883ABA">
            <w:pPr>
              <w:pStyle w:val="ListParagraph"/>
              <w:widowControl w:val="0"/>
              <w:numPr>
                <w:ilvl w:val="0"/>
                <w:numId w:val="16"/>
              </w:numPr>
              <w:tabs>
                <w:tab w:val="left" w:pos="147"/>
              </w:tabs>
              <w:rPr>
                <w:rFonts w:eastAsia="@PMingLiU" w:cs="Calibri"/>
                <w:szCs w:val="24"/>
              </w:rPr>
            </w:pPr>
            <w:r w:rsidRPr="0079380D">
              <w:rPr>
                <w:rFonts w:eastAsia="@PMingLiU" w:cs="Calibri"/>
                <w:sz w:val="24"/>
                <w:szCs w:val="24"/>
              </w:rPr>
              <w:t>Share best practices for data security</w:t>
            </w:r>
          </w:p>
          <w:p w14:paraId="4858C612" w14:textId="77777777" w:rsidR="008C6B82" w:rsidRPr="0079380D" w:rsidRDefault="008C6B82" w:rsidP="00883ABA">
            <w:pPr>
              <w:pStyle w:val="ListParagraph"/>
              <w:widowControl w:val="0"/>
              <w:numPr>
                <w:ilvl w:val="0"/>
                <w:numId w:val="16"/>
              </w:numPr>
              <w:tabs>
                <w:tab w:val="left" w:pos="147"/>
              </w:tabs>
              <w:rPr>
                <w:rFonts w:eastAsia="@PMingLiU" w:cs="Calibri"/>
                <w:szCs w:val="24"/>
              </w:rPr>
            </w:pPr>
            <w:r w:rsidRPr="0079380D">
              <w:rPr>
                <w:rFonts w:eastAsia="@PMingLiU" w:cs="Calibri"/>
                <w:sz w:val="24"/>
                <w:szCs w:val="24"/>
              </w:rPr>
              <w:t>Define and publish reference security protocols</w:t>
            </w:r>
          </w:p>
          <w:p w14:paraId="10B37570" w14:textId="77777777" w:rsidR="008C6B82" w:rsidRPr="0079380D" w:rsidRDefault="008C6B82" w:rsidP="00883ABA">
            <w:pPr>
              <w:pStyle w:val="ListParagraph"/>
              <w:widowControl w:val="0"/>
              <w:numPr>
                <w:ilvl w:val="0"/>
                <w:numId w:val="16"/>
              </w:numPr>
              <w:tabs>
                <w:tab w:val="left" w:pos="147"/>
              </w:tabs>
              <w:rPr>
                <w:rFonts w:eastAsia="@PMingLiU" w:cs="Calibri"/>
              </w:rPr>
            </w:pPr>
            <w:r w:rsidRPr="0079380D">
              <w:rPr>
                <w:rFonts w:eastAsia="@PMingLiU" w:cs="Calibri"/>
                <w:sz w:val="24"/>
                <w:szCs w:val="24"/>
              </w:rPr>
              <w:t>Keep Standards Volume III, Chapter 6 up to date; assess extracting Chapter 6 to a separate document.</w:t>
            </w:r>
          </w:p>
          <w:p w14:paraId="4FACF572" w14:textId="77777777" w:rsidR="008C6B82" w:rsidRPr="008C6B82" w:rsidRDefault="008C6B82" w:rsidP="00883ABA">
            <w:pPr>
              <w:pStyle w:val="ListParagraph"/>
              <w:widowControl w:val="0"/>
              <w:numPr>
                <w:ilvl w:val="0"/>
                <w:numId w:val="16"/>
              </w:numPr>
              <w:tabs>
                <w:tab w:val="left" w:pos="147"/>
              </w:tabs>
              <w:rPr>
                <w:rFonts w:eastAsia="@PMingLiU" w:cs="Calibri"/>
                <w:szCs w:val="23"/>
              </w:rPr>
            </w:pPr>
            <w:r w:rsidRPr="0079380D">
              <w:rPr>
                <w:rFonts w:eastAsia="@PMingLiU" w:cs="Calibri"/>
                <w:sz w:val="24"/>
                <w:szCs w:val="24"/>
              </w:rPr>
              <w:t>Identify and develop software tools to facilitate the safekeeping of data.</w:t>
            </w:r>
          </w:p>
        </w:tc>
      </w:tr>
      <w:tr w:rsidR="00874BC1" w:rsidRPr="00B66A0A" w14:paraId="492BEA3C"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6928FB54" w14:textId="0220E56D" w:rsidR="00874BC1" w:rsidRPr="00E7673C" w:rsidRDefault="00874BC1" w:rsidP="00883ABA">
            <w:pPr>
              <w:widowControl w:val="0"/>
              <w:tabs>
                <w:tab w:val="left" w:pos="72"/>
              </w:tabs>
              <w:ind w:left="-72"/>
              <w:rPr>
                <w:rFonts w:ascii="Calibri" w:hAnsi="Calibri" w:cs="Calibri"/>
                <w:szCs w:val="23"/>
              </w:rPr>
            </w:pPr>
            <w:r w:rsidRPr="00E7673C">
              <w:rPr>
                <w:rFonts w:ascii="Calibri" w:hAnsi="Calibri" w:cs="Calibri"/>
                <w:szCs w:val="23"/>
              </w:rPr>
              <w:t xml:space="preserve">3. </w:t>
            </w:r>
            <w:r w:rsidR="00883ABA">
              <w:rPr>
                <w:rFonts w:ascii="Calibri" w:eastAsia="@PMingLiU" w:hAnsi="Calibri" w:cs="Calibri"/>
                <w:szCs w:val="23"/>
              </w:rPr>
              <w:t>Provide the documentation, tools, and training that enables the NAACCR community to transition from the fixed-width data exchange standard to the NAACCR XML data exchange standards</w:t>
            </w:r>
          </w:p>
        </w:tc>
        <w:tc>
          <w:tcPr>
            <w:tcW w:w="5220" w:type="dxa"/>
            <w:tcBorders>
              <w:top w:val="single" w:sz="8" w:space="0" w:color="auto"/>
              <w:left w:val="nil"/>
              <w:bottom w:val="single" w:sz="8" w:space="0" w:color="auto"/>
              <w:right w:val="single" w:sz="8" w:space="0" w:color="auto"/>
            </w:tcBorders>
          </w:tcPr>
          <w:p w14:paraId="643EA4F9" w14:textId="77777777" w:rsidR="00874BC1" w:rsidRPr="00E7673C" w:rsidRDefault="00874BC1" w:rsidP="00883ABA">
            <w:pPr>
              <w:widowControl w:val="0"/>
              <w:ind w:left="-115"/>
              <w:rPr>
                <w:rFonts w:ascii="Calibri" w:hAnsi="Calibri" w:cs="Calibri"/>
                <w:szCs w:val="23"/>
              </w:rPr>
            </w:pPr>
            <w:r w:rsidRPr="00E7673C">
              <w:rPr>
                <w:rFonts w:ascii="Calibri" w:eastAsia="@PMingLiU" w:hAnsi="Calibri" w:cs="Calibri"/>
                <w:szCs w:val="23"/>
              </w:rPr>
              <w:t xml:space="preserve">1. </w:t>
            </w:r>
            <w:r>
              <w:rPr>
                <w:rFonts w:ascii="Calibri" w:eastAsia="@PMingLiU" w:hAnsi="Calibri" w:cs="Calibri"/>
                <w:szCs w:val="23"/>
              </w:rPr>
              <w:t>XML Work Group</w:t>
            </w:r>
          </w:p>
        </w:tc>
        <w:tc>
          <w:tcPr>
            <w:tcW w:w="6570" w:type="dxa"/>
            <w:tcBorders>
              <w:top w:val="single" w:sz="8" w:space="0" w:color="auto"/>
              <w:left w:val="nil"/>
              <w:bottom w:val="single" w:sz="8" w:space="0" w:color="auto"/>
              <w:right w:val="single" w:sz="8" w:space="0" w:color="auto"/>
            </w:tcBorders>
          </w:tcPr>
          <w:p w14:paraId="412BE01F" w14:textId="77777777" w:rsidR="00F66B8A" w:rsidRDefault="00F66B8A" w:rsidP="00883ABA">
            <w:pPr>
              <w:widowControl w:val="0"/>
              <w:numPr>
                <w:ilvl w:val="0"/>
                <w:numId w:val="9"/>
              </w:numPr>
              <w:rPr>
                <w:rFonts w:ascii="Calibri" w:hAnsi="Calibri" w:cs="Calibri"/>
                <w:szCs w:val="23"/>
              </w:rPr>
            </w:pPr>
            <w:r>
              <w:rPr>
                <w:rFonts w:ascii="Calibri" w:hAnsi="Calibri" w:cs="Calibri"/>
                <w:szCs w:val="23"/>
              </w:rPr>
              <w:t>Ensure vendors have tools needed to develop XML message</w:t>
            </w:r>
          </w:p>
          <w:p w14:paraId="3B911DAB" w14:textId="77777777" w:rsidR="00F66B8A" w:rsidRPr="00E7673C" w:rsidRDefault="00F66B8A" w:rsidP="00883ABA">
            <w:pPr>
              <w:widowControl w:val="0"/>
              <w:numPr>
                <w:ilvl w:val="0"/>
                <w:numId w:val="9"/>
              </w:numPr>
              <w:rPr>
                <w:rFonts w:ascii="Calibri" w:hAnsi="Calibri" w:cs="Calibri"/>
                <w:szCs w:val="23"/>
              </w:rPr>
            </w:pPr>
            <w:r>
              <w:rPr>
                <w:rFonts w:ascii="Calibri" w:hAnsi="Calibri" w:cs="Calibri"/>
                <w:szCs w:val="23"/>
              </w:rPr>
              <w:t>Provide training to NAACCR community</w:t>
            </w:r>
          </w:p>
        </w:tc>
      </w:tr>
      <w:tr w:rsidR="00B17E58" w:rsidRPr="00B66A0A" w14:paraId="702001A5"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12A91BA0" w14:textId="0D07B071" w:rsidR="00B17E58" w:rsidRPr="00E7673C" w:rsidRDefault="00B17E58" w:rsidP="00883ABA">
            <w:pPr>
              <w:widowControl w:val="0"/>
              <w:tabs>
                <w:tab w:val="left" w:pos="72"/>
              </w:tabs>
              <w:ind w:left="-72"/>
              <w:rPr>
                <w:rFonts w:ascii="Calibri" w:hAnsi="Calibri" w:cs="Calibri"/>
                <w:szCs w:val="23"/>
              </w:rPr>
            </w:pPr>
            <w:r>
              <w:rPr>
                <w:rFonts w:ascii="Calibri" w:hAnsi="Calibri" w:cs="Calibri"/>
                <w:szCs w:val="23"/>
              </w:rPr>
              <w:lastRenderedPageBreak/>
              <w:t xml:space="preserve">4. </w:t>
            </w:r>
            <w:r w:rsidR="00E9294F">
              <w:rPr>
                <w:rFonts w:ascii="Calibri" w:hAnsi="Calibri" w:cs="Calibri"/>
                <w:szCs w:val="23"/>
              </w:rPr>
              <w:t>Conduct quarterly follow-up 2018 Readiness Surveys to determine how central registries are progressing in their ability to accept and process 2018 cases.</w:t>
            </w:r>
          </w:p>
        </w:tc>
        <w:tc>
          <w:tcPr>
            <w:tcW w:w="5220" w:type="dxa"/>
            <w:tcBorders>
              <w:top w:val="single" w:sz="8" w:space="0" w:color="auto"/>
              <w:left w:val="nil"/>
              <w:bottom w:val="single" w:sz="8" w:space="0" w:color="auto"/>
              <w:right w:val="single" w:sz="8" w:space="0" w:color="auto"/>
            </w:tcBorders>
          </w:tcPr>
          <w:p w14:paraId="7C957F4B" w14:textId="77777777" w:rsidR="00B17E58" w:rsidRPr="00E7673C" w:rsidRDefault="003C7E0F" w:rsidP="00883ABA">
            <w:pPr>
              <w:widowControl w:val="0"/>
              <w:ind w:left="-115"/>
              <w:rPr>
                <w:rFonts w:ascii="Calibri" w:eastAsia="@PMingLiU" w:hAnsi="Calibri" w:cs="Calibri"/>
                <w:szCs w:val="23"/>
              </w:rPr>
            </w:pPr>
            <w:r>
              <w:rPr>
                <w:rFonts w:ascii="Calibri" w:eastAsia="@PMingLiU" w:hAnsi="Calibri" w:cs="Calibri"/>
                <w:szCs w:val="23"/>
              </w:rPr>
              <w:t xml:space="preserve">1. </w:t>
            </w:r>
            <w:r w:rsidR="00B17E58">
              <w:rPr>
                <w:rFonts w:ascii="Calibri" w:eastAsia="@PMingLiU" w:hAnsi="Calibri" w:cs="Calibri"/>
                <w:szCs w:val="23"/>
              </w:rPr>
              <w:t>S&amp;RD</w:t>
            </w:r>
          </w:p>
        </w:tc>
        <w:tc>
          <w:tcPr>
            <w:tcW w:w="6570" w:type="dxa"/>
            <w:tcBorders>
              <w:top w:val="single" w:sz="8" w:space="0" w:color="auto"/>
              <w:left w:val="nil"/>
              <w:bottom w:val="single" w:sz="8" w:space="0" w:color="auto"/>
              <w:right w:val="single" w:sz="8" w:space="0" w:color="auto"/>
            </w:tcBorders>
          </w:tcPr>
          <w:p w14:paraId="003FD4FB" w14:textId="654DDC8D" w:rsidR="00E9294F" w:rsidRDefault="00E9294F" w:rsidP="00E9294F">
            <w:pPr>
              <w:widowControl w:val="0"/>
              <w:numPr>
                <w:ilvl w:val="0"/>
                <w:numId w:val="9"/>
              </w:numPr>
              <w:rPr>
                <w:rFonts w:ascii="Calibri" w:hAnsi="Calibri" w:cs="Calibri"/>
                <w:szCs w:val="23"/>
              </w:rPr>
            </w:pPr>
            <w:r>
              <w:rPr>
                <w:rFonts w:ascii="Calibri" w:hAnsi="Calibri" w:cs="Calibri"/>
                <w:szCs w:val="23"/>
              </w:rPr>
              <w:t>Update and prepare quarterly survey questions</w:t>
            </w:r>
          </w:p>
          <w:p w14:paraId="7EFDF800" w14:textId="45B42B8D" w:rsidR="00B17E58" w:rsidRPr="00EB334E" w:rsidRDefault="00E9294F" w:rsidP="00EB334E">
            <w:pPr>
              <w:widowControl w:val="0"/>
              <w:numPr>
                <w:ilvl w:val="0"/>
                <w:numId w:val="9"/>
              </w:numPr>
              <w:rPr>
                <w:rFonts w:ascii="Calibri" w:hAnsi="Calibri" w:cs="Calibri"/>
                <w:szCs w:val="23"/>
              </w:rPr>
            </w:pPr>
            <w:r>
              <w:rPr>
                <w:rFonts w:ascii="Calibri" w:hAnsi="Calibri" w:cs="Calibri"/>
                <w:szCs w:val="23"/>
              </w:rPr>
              <w:t>Review survey results and prepare informational updates to the NAACCR Board</w:t>
            </w:r>
            <w:r w:rsidR="00510ED5">
              <w:rPr>
                <w:rFonts w:ascii="Calibri" w:hAnsi="Calibri" w:cs="Calibri"/>
                <w:szCs w:val="23"/>
              </w:rPr>
              <w:t xml:space="preserve">, </w:t>
            </w:r>
            <w:r>
              <w:rPr>
                <w:rFonts w:ascii="Calibri" w:hAnsi="Calibri" w:cs="Calibri"/>
                <w:szCs w:val="23"/>
              </w:rPr>
              <w:t>the Mid-Level Tactical WG</w:t>
            </w:r>
            <w:r w:rsidR="00510ED5">
              <w:rPr>
                <w:rFonts w:ascii="Calibri" w:hAnsi="Calibri" w:cs="Calibri"/>
                <w:szCs w:val="23"/>
              </w:rPr>
              <w:t>, and with Board approval, the NAACCR membership</w:t>
            </w:r>
          </w:p>
        </w:tc>
      </w:tr>
    </w:tbl>
    <w:p w14:paraId="16EC1BA4" w14:textId="77777777" w:rsidR="008E219E" w:rsidRPr="00BF30DB" w:rsidRDefault="008E219E" w:rsidP="008E219E">
      <w:pPr>
        <w:pStyle w:val="Heading3"/>
        <w:spacing w:before="0" w:after="0"/>
        <w:rPr>
          <w:rFonts w:ascii="Times New Roman" w:hAnsi="Times New Roman"/>
          <w:sz w:val="24"/>
          <w:szCs w:val="24"/>
        </w:rPr>
      </w:pPr>
    </w:p>
    <w:p w14:paraId="7AED306D" w14:textId="77777777" w:rsidR="00F66B8A" w:rsidRDefault="00F66B8A" w:rsidP="008E219E">
      <w:pPr>
        <w:sectPr w:rsidR="00F66B8A" w:rsidSect="00E7673C">
          <w:pgSz w:w="15840" w:h="12240" w:orient="landscape"/>
          <w:pgMar w:top="1800" w:right="1440" w:bottom="1800" w:left="1440" w:header="720" w:footer="720" w:gutter="0"/>
          <w:cols w:space="720"/>
          <w:docGrid w:linePitch="360"/>
        </w:sectPr>
      </w:pPr>
    </w:p>
    <w:tbl>
      <w:tblPr>
        <w:tblW w:w="14670" w:type="dxa"/>
        <w:tblInd w:w="-792" w:type="dxa"/>
        <w:tblLayout w:type="fixed"/>
        <w:tblLook w:val="0000" w:firstRow="0" w:lastRow="0" w:firstColumn="0" w:lastColumn="0" w:noHBand="0" w:noVBand="0"/>
      </w:tblPr>
      <w:tblGrid>
        <w:gridCol w:w="2880"/>
        <w:gridCol w:w="5220"/>
        <w:gridCol w:w="6570"/>
      </w:tblGrid>
      <w:tr w:rsidR="00F66B8A" w:rsidRPr="00B66A0A" w14:paraId="3E86CD88" w14:textId="77777777" w:rsidTr="00B17E58">
        <w:trPr>
          <w:cantSplit/>
          <w:tblHeader/>
        </w:trPr>
        <w:tc>
          <w:tcPr>
            <w:tcW w:w="14670" w:type="dxa"/>
            <w:gridSpan w:val="3"/>
            <w:tcBorders>
              <w:top w:val="single" w:sz="8" w:space="0" w:color="auto"/>
              <w:left w:val="single" w:sz="8" w:space="0" w:color="auto"/>
              <w:bottom w:val="single" w:sz="8" w:space="0" w:color="auto"/>
              <w:right w:val="single" w:sz="8" w:space="0" w:color="000000"/>
            </w:tcBorders>
          </w:tcPr>
          <w:p w14:paraId="7867BB3B" w14:textId="445208F1" w:rsidR="00F66B8A" w:rsidRPr="00E7673C" w:rsidRDefault="00F66B8A" w:rsidP="00B17E58">
            <w:pPr>
              <w:jc w:val="center"/>
              <w:rPr>
                <w:rFonts w:ascii="Calibri" w:hAnsi="Calibri" w:cs="Calibri"/>
                <w:b/>
                <w:bCs/>
                <w:szCs w:val="23"/>
              </w:rPr>
            </w:pPr>
            <w:r w:rsidRPr="00E7673C">
              <w:rPr>
                <w:rFonts w:ascii="Calibri" w:hAnsi="Calibri" w:cs="Calibri"/>
                <w:szCs w:val="23"/>
              </w:rPr>
              <w:lastRenderedPageBreak/>
              <w:br w:type="page"/>
            </w:r>
            <w:r>
              <w:rPr>
                <w:rFonts w:ascii="Calibri" w:hAnsi="Calibri" w:cs="Calibri"/>
                <w:b/>
                <w:bCs/>
              </w:rPr>
              <w:t>S&amp;RD</w:t>
            </w:r>
            <w:r w:rsidRPr="00E7673C">
              <w:rPr>
                <w:rFonts w:ascii="Calibri" w:hAnsi="Calibri" w:cs="Calibri"/>
                <w:b/>
                <w:bCs/>
              </w:rPr>
              <w:t xml:space="preserve"> Work Plan </w:t>
            </w:r>
            <w:r>
              <w:rPr>
                <w:rFonts w:ascii="Calibri" w:hAnsi="Calibri" w:cs="Calibri"/>
                <w:b/>
                <w:bCs/>
              </w:rPr>
              <w:t>July 1</w:t>
            </w:r>
            <w:r w:rsidRPr="00E7673C">
              <w:rPr>
                <w:rFonts w:ascii="Calibri" w:hAnsi="Calibri" w:cs="Calibri"/>
                <w:b/>
                <w:bCs/>
              </w:rPr>
              <w:t>, 201</w:t>
            </w:r>
            <w:r w:rsidR="00BA4D7F">
              <w:rPr>
                <w:rFonts w:ascii="Calibri" w:hAnsi="Calibri" w:cs="Calibri"/>
                <w:b/>
                <w:bCs/>
              </w:rPr>
              <w:t>9</w:t>
            </w:r>
            <w:r w:rsidRPr="00E7673C">
              <w:rPr>
                <w:rFonts w:ascii="Calibri" w:hAnsi="Calibri" w:cs="Calibri"/>
                <w:b/>
                <w:bCs/>
              </w:rPr>
              <w:t xml:space="preserve"> – June </w:t>
            </w:r>
            <w:r>
              <w:rPr>
                <w:rFonts w:ascii="Calibri" w:hAnsi="Calibri" w:cs="Calibri"/>
                <w:b/>
                <w:bCs/>
              </w:rPr>
              <w:t>30</w:t>
            </w:r>
            <w:r w:rsidRPr="00E7673C">
              <w:rPr>
                <w:rFonts w:ascii="Calibri" w:hAnsi="Calibri" w:cs="Calibri"/>
                <w:b/>
                <w:bCs/>
              </w:rPr>
              <w:t>, 20</w:t>
            </w:r>
            <w:r w:rsidR="00BA4D7F">
              <w:rPr>
                <w:rFonts w:ascii="Calibri" w:hAnsi="Calibri" w:cs="Calibri"/>
                <w:b/>
                <w:bCs/>
              </w:rPr>
              <w:t>20</w:t>
            </w:r>
          </w:p>
        </w:tc>
      </w:tr>
      <w:tr w:rsidR="00F66B8A" w:rsidRPr="00B66A0A" w14:paraId="723AC7AA" w14:textId="77777777" w:rsidTr="00B17E58">
        <w:trPr>
          <w:cantSplit/>
          <w:trHeight w:val="509"/>
          <w:tblHeader/>
        </w:trPr>
        <w:tc>
          <w:tcPr>
            <w:tcW w:w="14670" w:type="dxa"/>
            <w:gridSpan w:val="3"/>
            <w:vMerge w:val="restart"/>
            <w:tcBorders>
              <w:top w:val="single" w:sz="8" w:space="0" w:color="auto"/>
              <w:left w:val="single" w:sz="8" w:space="0" w:color="auto"/>
              <w:bottom w:val="single" w:sz="8" w:space="0" w:color="000000"/>
              <w:right w:val="single" w:sz="8" w:space="0" w:color="000000"/>
            </w:tcBorders>
          </w:tcPr>
          <w:p w14:paraId="5487A110" w14:textId="77777777" w:rsidR="00F66B8A" w:rsidRPr="00E7673C" w:rsidRDefault="00882D86" w:rsidP="00F66B8A">
            <w:pPr>
              <w:rPr>
                <w:rFonts w:ascii="Calibri" w:hAnsi="Calibri" w:cs="Calibri"/>
                <w:b/>
                <w:bCs/>
                <w:szCs w:val="23"/>
              </w:rPr>
            </w:pPr>
            <w:r>
              <w:rPr>
                <w:rFonts w:ascii="Calibri" w:hAnsi="Calibri" w:cs="Calibri"/>
                <w:b/>
                <w:bCs/>
                <w:szCs w:val="23"/>
              </w:rPr>
              <w:t xml:space="preserve">NAACCR SMP </w:t>
            </w:r>
            <w:r w:rsidR="00F66B8A" w:rsidRPr="00E7673C">
              <w:rPr>
                <w:rFonts w:ascii="Calibri" w:hAnsi="Calibri" w:cs="Calibri"/>
                <w:b/>
                <w:bCs/>
                <w:szCs w:val="23"/>
              </w:rPr>
              <w:t xml:space="preserve">Goal </w:t>
            </w:r>
            <w:r w:rsidR="00F66B8A">
              <w:rPr>
                <w:rFonts w:ascii="Calibri" w:hAnsi="Calibri" w:cs="Calibri"/>
                <w:b/>
                <w:bCs/>
                <w:szCs w:val="23"/>
              </w:rPr>
              <w:t>2</w:t>
            </w:r>
            <w:r w:rsidR="00F66B8A" w:rsidRPr="00E7673C">
              <w:rPr>
                <w:rFonts w:ascii="Calibri" w:hAnsi="Calibri" w:cs="Calibri"/>
                <w:b/>
                <w:bCs/>
                <w:szCs w:val="23"/>
              </w:rPr>
              <w:t xml:space="preserve">:  </w:t>
            </w:r>
            <w:r w:rsidR="00F66B8A">
              <w:rPr>
                <w:rFonts w:ascii="Calibri" w:hAnsi="Calibri" w:cs="Calibri"/>
                <w:b/>
                <w:bCs/>
                <w:szCs w:val="23"/>
              </w:rPr>
              <w:t>PROVIDE CONSENSUS STANDARDS AND BEST PRACTICES FOR COLLECTING AND PROCESSING CANCER AND PATIENT INFORMATION</w:t>
            </w:r>
            <w:r w:rsidR="00F66B8A" w:rsidRPr="00E7673C">
              <w:rPr>
                <w:rFonts w:ascii="Calibri" w:hAnsi="Calibri" w:cs="Calibri"/>
                <w:b/>
                <w:bCs/>
                <w:szCs w:val="23"/>
              </w:rPr>
              <w:t>.</w:t>
            </w:r>
          </w:p>
        </w:tc>
      </w:tr>
      <w:tr w:rsidR="00F66B8A" w:rsidRPr="00B66A0A" w14:paraId="3941C500" w14:textId="77777777" w:rsidTr="00B17E58">
        <w:trPr>
          <w:cantSplit/>
          <w:trHeight w:val="509"/>
          <w:tblHeader/>
        </w:trPr>
        <w:tc>
          <w:tcPr>
            <w:tcW w:w="14670" w:type="dxa"/>
            <w:gridSpan w:val="3"/>
            <w:vMerge/>
            <w:tcBorders>
              <w:top w:val="single" w:sz="8" w:space="0" w:color="auto"/>
              <w:left w:val="single" w:sz="8" w:space="0" w:color="auto"/>
              <w:bottom w:val="single" w:sz="8" w:space="0" w:color="000000"/>
              <w:right w:val="single" w:sz="8" w:space="0" w:color="000000"/>
            </w:tcBorders>
            <w:vAlign w:val="center"/>
          </w:tcPr>
          <w:p w14:paraId="540AB154" w14:textId="77777777" w:rsidR="00F66B8A" w:rsidRPr="00E7673C" w:rsidRDefault="00F66B8A" w:rsidP="00B17E58">
            <w:pPr>
              <w:rPr>
                <w:rFonts w:ascii="Calibri" w:hAnsi="Calibri" w:cs="Calibri"/>
                <w:b/>
                <w:bCs/>
                <w:szCs w:val="23"/>
              </w:rPr>
            </w:pPr>
          </w:p>
        </w:tc>
      </w:tr>
      <w:tr w:rsidR="00F66B8A" w:rsidRPr="00B66A0A" w14:paraId="572552A1" w14:textId="77777777" w:rsidTr="00B17E58">
        <w:trPr>
          <w:cantSplit/>
          <w:tblHeader/>
        </w:trPr>
        <w:tc>
          <w:tcPr>
            <w:tcW w:w="2880" w:type="dxa"/>
            <w:tcBorders>
              <w:top w:val="nil"/>
              <w:left w:val="single" w:sz="8" w:space="0" w:color="auto"/>
              <w:bottom w:val="single" w:sz="8" w:space="0" w:color="auto"/>
              <w:right w:val="single" w:sz="8" w:space="0" w:color="auto"/>
            </w:tcBorders>
          </w:tcPr>
          <w:p w14:paraId="2B2F508A" w14:textId="77777777" w:rsidR="00F66B8A" w:rsidRPr="00E7673C" w:rsidRDefault="00F66B8A" w:rsidP="00B17E58">
            <w:pPr>
              <w:rPr>
                <w:rFonts w:ascii="Calibri" w:hAnsi="Calibri" w:cs="Calibri"/>
                <w:b/>
                <w:bCs/>
                <w:szCs w:val="23"/>
              </w:rPr>
            </w:pPr>
            <w:r w:rsidRPr="00E7673C">
              <w:rPr>
                <w:rFonts w:ascii="Calibri" w:hAnsi="Calibri" w:cs="Calibri"/>
                <w:b/>
                <w:bCs/>
                <w:szCs w:val="23"/>
              </w:rPr>
              <w:t>Objectives</w:t>
            </w:r>
          </w:p>
        </w:tc>
        <w:tc>
          <w:tcPr>
            <w:tcW w:w="5220" w:type="dxa"/>
            <w:tcBorders>
              <w:top w:val="nil"/>
              <w:left w:val="nil"/>
              <w:bottom w:val="single" w:sz="8" w:space="0" w:color="auto"/>
              <w:right w:val="single" w:sz="8" w:space="0" w:color="auto"/>
            </w:tcBorders>
          </w:tcPr>
          <w:p w14:paraId="5131992C" w14:textId="77777777" w:rsidR="00F66B8A" w:rsidRPr="00E7673C" w:rsidRDefault="00F66B8A" w:rsidP="00B17E58">
            <w:pPr>
              <w:rPr>
                <w:rFonts w:ascii="Calibri" w:hAnsi="Calibri" w:cs="Calibri"/>
                <w:b/>
                <w:bCs/>
                <w:szCs w:val="23"/>
              </w:rPr>
            </w:pPr>
            <w:r>
              <w:rPr>
                <w:rFonts w:ascii="Calibri" w:hAnsi="Calibri" w:cs="Calibri"/>
                <w:b/>
                <w:bCs/>
                <w:szCs w:val="23"/>
              </w:rPr>
              <w:t>Work Groups</w:t>
            </w:r>
            <w:r w:rsidRPr="00E7673C">
              <w:rPr>
                <w:rFonts w:ascii="Calibri" w:hAnsi="Calibri" w:cs="Calibri"/>
                <w:b/>
                <w:bCs/>
                <w:szCs w:val="23"/>
              </w:rPr>
              <w:t xml:space="preserve"> </w:t>
            </w:r>
            <w:r>
              <w:rPr>
                <w:rFonts w:ascii="Calibri" w:hAnsi="Calibri" w:cs="Calibri"/>
                <w:b/>
                <w:bCs/>
                <w:szCs w:val="23"/>
              </w:rPr>
              <w:t>/Advisory Groups</w:t>
            </w:r>
          </w:p>
        </w:tc>
        <w:tc>
          <w:tcPr>
            <w:tcW w:w="6570" w:type="dxa"/>
            <w:tcBorders>
              <w:top w:val="nil"/>
              <w:left w:val="nil"/>
              <w:bottom w:val="single" w:sz="8" w:space="0" w:color="auto"/>
              <w:right w:val="single" w:sz="8" w:space="0" w:color="auto"/>
            </w:tcBorders>
          </w:tcPr>
          <w:p w14:paraId="76CDFB0E" w14:textId="77777777" w:rsidR="00F66B8A" w:rsidRPr="00E7673C" w:rsidRDefault="00F66B8A" w:rsidP="00B17E58">
            <w:pPr>
              <w:rPr>
                <w:rFonts w:ascii="Calibri" w:hAnsi="Calibri" w:cs="Calibri"/>
                <w:b/>
                <w:bCs/>
                <w:szCs w:val="23"/>
              </w:rPr>
            </w:pPr>
            <w:r>
              <w:rPr>
                <w:rFonts w:ascii="Calibri" w:hAnsi="Calibri" w:cs="Calibri"/>
                <w:b/>
                <w:bCs/>
                <w:szCs w:val="23"/>
              </w:rPr>
              <w:t>Work group activities</w:t>
            </w:r>
          </w:p>
        </w:tc>
      </w:tr>
      <w:tr w:rsidR="00F66B8A" w:rsidRPr="00B66A0A" w14:paraId="6603221E"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4DDFBEC8" w14:textId="77777777" w:rsidR="00F66B8A" w:rsidRPr="00E7673C" w:rsidRDefault="00F66B8A" w:rsidP="00F66B8A">
            <w:pPr>
              <w:ind w:left="-113"/>
              <w:rPr>
                <w:rFonts w:ascii="Calibri" w:hAnsi="Calibri" w:cs="Calibri"/>
                <w:szCs w:val="23"/>
              </w:rPr>
            </w:pPr>
            <w:r w:rsidRPr="00E7673C">
              <w:rPr>
                <w:rFonts w:ascii="Calibri" w:eastAsia="@PMingLiU" w:hAnsi="Calibri" w:cs="Calibri"/>
                <w:szCs w:val="23"/>
              </w:rPr>
              <w:t>1</w:t>
            </w:r>
            <w:r>
              <w:rPr>
                <w:rFonts w:ascii="Calibri" w:eastAsia="@PMingLiU" w:hAnsi="Calibri" w:cs="Calibri"/>
                <w:szCs w:val="23"/>
              </w:rPr>
              <w:t>. Maintain consensus-based standards volumes and implementation guidelines</w:t>
            </w:r>
            <w:r w:rsidRPr="00E7673C">
              <w:rPr>
                <w:rFonts w:ascii="Calibri" w:eastAsia="@PMingLiU" w:hAnsi="Calibri" w:cs="Calibri"/>
                <w:szCs w:val="23"/>
              </w:rPr>
              <w:t>.</w:t>
            </w:r>
          </w:p>
        </w:tc>
        <w:tc>
          <w:tcPr>
            <w:tcW w:w="5220" w:type="dxa"/>
            <w:tcBorders>
              <w:top w:val="single" w:sz="8" w:space="0" w:color="auto"/>
              <w:left w:val="nil"/>
              <w:bottom w:val="single" w:sz="8" w:space="0" w:color="auto"/>
              <w:right w:val="single" w:sz="8" w:space="0" w:color="auto"/>
            </w:tcBorders>
          </w:tcPr>
          <w:p w14:paraId="1BA6E5C3" w14:textId="187EBA72" w:rsidR="00F66B8A" w:rsidRPr="00E7673C" w:rsidRDefault="00F66B8A" w:rsidP="00F66B8A">
            <w:pPr>
              <w:ind w:left="-115"/>
              <w:rPr>
                <w:rFonts w:ascii="Calibri" w:eastAsia="@PMingLiU" w:hAnsi="Calibri" w:cs="Calibri"/>
                <w:szCs w:val="23"/>
              </w:rPr>
            </w:pPr>
            <w:r w:rsidRPr="00E7673C">
              <w:rPr>
                <w:rFonts w:ascii="Calibri" w:eastAsia="@PMingLiU" w:hAnsi="Calibri" w:cs="Calibri"/>
                <w:szCs w:val="23"/>
              </w:rPr>
              <w:t xml:space="preserve">1. </w:t>
            </w:r>
            <w:r>
              <w:rPr>
                <w:rFonts w:ascii="Calibri" w:eastAsia="@PMingLiU" w:hAnsi="Calibri" w:cs="Calibri"/>
                <w:szCs w:val="23"/>
              </w:rPr>
              <w:t>Uniform Data Standards Work Group</w:t>
            </w:r>
            <w:r w:rsidRPr="00E7673C">
              <w:rPr>
                <w:rFonts w:ascii="Calibri" w:eastAsia="@PMingLiU" w:hAnsi="Calibri" w:cs="Calibri"/>
                <w:szCs w:val="23"/>
              </w:rPr>
              <w:br/>
            </w:r>
          </w:p>
        </w:tc>
        <w:tc>
          <w:tcPr>
            <w:tcW w:w="6570" w:type="dxa"/>
            <w:tcBorders>
              <w:top w:val="single" w:sz="8" w:space="0" w:color="auto"/>
              <w:left w:val="nil"/>
              <w:bottom w:val="single" w:sz="8" w:space="0" w:color="auto"/>
              <w:right w:val="single" w:sz="8" w:space="0" w:color="auto"/>
            </w:tcBorders>
          </w:tcPr>
          <w:p w14:paraId="6CC91AEA" w14:textId="1A2DD161" w:rsidR="00F66B8A" w:rsidRPr="00E7673C" w:rsidRDefault="00F66B8A" w:rsidP="00F66B8A">
            <w:pPr>
              <w:numPr>
                <w:ilvl w:val="0"/>
                <w:numId w:val="10"/>
              </w:numPr>
              <w:rPr>
                <w:rFonts w:ascii="Calibri" w:eastAsia="@PMingLiU" w:hAnsi="Calibri" w:cs="Calibri"/>
                <w:szCs w:val="23"/>
              </w:rPr>
            </w:pPr>
            <w:r>
              <w:rPr>
                <w:rFonts w:ascii="Calibri" w:eastAsia="@PMingLiU" w:hAnsi="Calibri" w:cs="Calibri"/>
                <w:szCs w:val="23"/>
              </w:rPr>
              <w:t xml:space="preserve">Review new data items approved by </w:t>
            </w:r>
            <w:r w:rsidR="00E9294F">
              <w:rPr>
                <w:rFonts w:ascii="Calibri" w:eastAsia="@PMingLiU" w:hAnsi="Calibri" w:cs="Calibri"/>
                <w:szCs w:val="23"/>
              </w:rPr>
              <w:t>the Mid-Level Tactical Group</w:t>
            </w:r>
            <w:r w:rsidR="0013037E">
              <w:rPr>
                <w:rFonts w:ascii="Calibri" w:eastAsia="@PMingLiU" w:hAnsi="Calibri" w:cs="Calibri"/>
                <w:szCs w:val="23"/>
              </w:rPr>
              <w:t>.</w:t>
            </w:r>
          </w:p>
          <w:p w14:paraId="7A1A823C" w14:textId="77777777" w:rsidR="00F66B8A" w:rsidRPr="00E7673C" w:rsidRDefault="00F66B8A" w:rsidP="00B17E58">
            <w:pPr>
              <w:ind w:left="-113"/>
              <w:rPr>
                <w:rFonts w:ascii="Calibri" w:eastAsia="@PMingLiU" w:hAnsi="Calibri" w:cs="Calibri"/>
                <w:szCs w:val="23"/>
              </w:rPr>
            </w:pPr>
          </w:p>
        </w:tc>
      </w:tr>
      <w:tr w:rsidR="00F66B8A" w:rsidRPr="00B66A0A" w14:paraId="2D7353B2"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2140CF83" w14:textId="77777777" w:rsidR="00F66B8A" w:rsidRPr="00E7673C" w:rsidRDefault="00F66B8A" w:rsidP="00B17E58">
            <w:pPr>
              <w:ind w:left="-113"/>
              <w:rPr>
                <w:rFonts w:ascii="Calibri" w:eastAsia="@PMingLiU" w:hAnsi="Calibri" w:cs="Calibri"/>
                <w:szCs w:val="23"/>
              </w:rPr>
            </w:pPr>
          </w:p>
        </w:tc>
        <w:tc>
          <w:tcPr>
            <w:tcW w:w="5220" w:type="dxa"/>
            <w:tcBorders>
              <w:top w:val="single" w:sz="8" w:space="0" w:color="auto"/>
              <w:left w:val="nil"/>
              <w:bottom w:val="single" w:sz="8" w:space="0" w:color="auto"/>
              <w:right w:val="single" w:sz="8" w:space="0" w:color="auto"/>
            </w:tcBorders>
          </w:tcPr>
          <w:p w14:paraId="4E659CAC" w14:textId="77777777" w:rsidR="00F66B8A" w:rsidRPr="00E7673C" w:rsidRDefault="00F66B8A" w:rsidP="00F66B8A">
            <w:pPr>
              <w:ind w:left="-115"/>
              <w:rPr>
                <w:rFonts w:ascii="Calibri" w:eastAsia="@PMingLiU" w:hAnsi="Calibri" w:cs="Calibri"/>
                <w:szCs w:val="23"/>
              </w:rPr>
            </w:pPr>
            <w:r>
              <w:rPr>
                <w:rFonts w:ascii="Calibri" w:eastAsia="@PMingLiU" w:hAnsi="Calibri" w:cs="Calibri"/>
                <w:szCs w:val="23"/>
              </w:rPr>
              <w:t>2. S</w:t>
            </w:r>
            <w:r w:rsidR="00802BEA">
              <w:rPr>
                <w:rFonts w:ascii="Calibri" w:eastAsia="@PMingLiU" w:hAnsi="Calibri" w:cs="Calibri"/>
                <w:szCs w:val="23"/>
              </w:rPr>
              <w:t xml:space="preserve">ite </w:t>
            </w:r>
            <w:r>
              <w:rPr>
                <w:rFonts w:ascii="Calibri" w:eastAsia="@PMingLiU" w:hAnsi="Calibri" w:cs="Calibri"/>
                <w:szCs w:val="23"/>
              </w:rPr>
              <w:t>S</w:t>
            </w:r>
            <w:r w:rsidR="00802BEA">
              <w:rPr>
                <w:rFonts w:ascii="Calibri" w:eastAsia="@PMingLiU" w:hAnsi="Calibri" w:cs="Calibri"/>
                <w:szCs w:val="23"/>
              </w:rPr>
              <w:t xml:space="preserve">pecific </w:t>
            </w:r>
            <w:r>
              <w:rPr>
                <w:rFonts w:ascii="Calibri" w:eastAsia="@PMingLiU" w:hAnsi="Calibri" w:cs="Calibri"/>
                <w:szCs w:val="23"/>
              </w:rPr>
              <w:t>D</w:t>
            </w:r>
            <w:r w:rsidR="00802BEA">
              <w:rPr>
                <w:rFonts w:ascii="Calibri" w:eastAsia="@PMingLiU" w:hAnsi="Calibri" w:cs="Calibri"/>
                <w:szCs w:val="23"/>
              </w:rPr>
              <w:t xml:space="preserve">ata </w:t>
            </w:r>
            <w:r>
              <w:rPr>
                <w:rFonts w:ascii="Calibri" w:eastAsia="@PMingLiU" w:hAnsi="Calibri" w:cs="Calibri"/>
                <w:szCs w:val="23"/>
              </w:rPr>
              <w:t>I</w:t>
            </w:r>
            <w:r w:rsidR="00802BEA">
              <w:rPr>
                <w:rFonts w:ascii="Calibri" w:eastAsia="@PMingLiU" w:hAnsi="Calibri" w:cs="Calibri"/>
                <w:szCs w:val="23"/>
              </w:rPr>
              <w:t>tem</w:t>
            </w:r>
            <w:r>
              <w:rPr>
                <w:rFonts w:ascii="Calibri" w:eastAsia="@PMingLiU" w:hAnsi="Calibri" w:cs="Calibri"/>
                <w:szCs w:val="23"/>
              </w:rPr>
              <w:t xml:space="preserve"> </w:t>
            </w:r>
            <w:r w:rsidR="00802BEA">
              <w:rPr>
                <w:rFonts w:ascii="Calibri" w:eastAsia="@PMingLiU" w:hAnsi="Calibri" w:cs="Calibri"/>
                <w:szCs w:val="23"/>
              </w:rPr>
              <w:t>Task Force</w:t>
            </w:r>
          </w:p>
        </w:tc>
        <w:tc>
          <w:tcPr>
            <w:tcW w:w="6570" w:type="dxa"/>
            <w:tcBorders>
              <w:top w:val="single" w:sz="8" w:space="0" w:color="auto"/>
              <w:left w:val="nil"/>
              <w:bottom w:val="single" w:sz="8" w:space="0" w:color="auto"/>
              <w:right w:val="single" w:sz="8" w:space="0" w:color="auto"/>
            </w:tcBorders>
          </w:tcPr>
          <w:p w14:paraId="2B384249" w14:textId="6AC6492E" w:rsidR="00F66B8A" w:rsidRPr="00E7673C" w:rsidRDefault="0013037E" w:rsidP="00F66B8A">
            <w:pPr>
              <w:numPr>
                <w:ilvl w:val="0"/>
                <w:numId w:val="10"/>
              </w:numPr>
              <w:rPr>
                <w:rFonts w:ascii="Calibri" w:eastAsia="@PMingLiU" w:hAnsi="Calibri" w:cs="Calibri"/>
                <w:szCs w:val="23"/>
              </w:rPr>
            </w:pPr>
            <w:r>
              <w:rPr>
                <w:rFonts w:ascii="Calibri" w:eastAsia="@PMingLiU" w:hAnsi="Calibri" w:cs="Calibri"/>
                <w:szCs w:val="23"/>
              </w:rPr>
              <w:t>Review and evaluate proposed prognostic factors and biomarkers.</w:t>
            </w:r>
          </w:p>
          <w:p w14:paraId="2853AF28" w14:textId="77777777" w:rsidR="00F66B8A" w:rsidRPr="00E7673C" w:rsidRDefault="00F66B8A" w:rsidP="00B17E58">
            <w:pPr>
              <w:rPr>
                <w:rFonts w:ascii="Calibri" w:eastAsia="@PMingLiU" w:hAnsi="Calibri" w:cs="Calibri"/>
                <w:szCs w:val="23"/>
              </w:rPr>
            </w:pPr>
          </w:p>
        </w:tc>
      </w:tr>
      <w:tr w:rsidR="00802BEA" w:rsidRPr="00B66A0A" w14:paraId="009857A8"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3C5E960D" w14:textId="77777777" w:rsidR="00802BEA" w:rsidRPr="00E7673C" w:rsidRDefault="00802BEA" w:rsidP="00B17E58">
            <w:pPr>
              <w:ind w:left="-113"/>
              <w:rPr>
                <w:rFonts w:ascii="Calibri" w:eastAsia="@PMingLiU" w:hAnsi="Calibri" w:cs="Calibri"/>
                <w:szCs w:val="23"/>
              </w:rPr>
            </w:pPr>
          </w:p>
        </w:tc>
        <w:tc>
          <w:tcPr>
            <w:tcW w:w="5220" w:type="dxa"/>
            <w:tcBorders>
              <w:top w:val="single" w:sz="8" w:space="0" w:color="auto"/>
              <w:left w:val="nil"/>
              <w:bottom w:val="single" w:sz="8" w:space="0" w:color="auto"/>
              <w:right w:val="single" w:sz="8" w:space="0" w:color="auto"/>
            </w:tcBorders>
          </w:tcPr>
          <w:p w14:paraId="13AF4804" w14:textId="77777777" w:rsidR="00802BEA" w:rsidRDefault="00802BEA" w:rsidP="00B17E58">
            <w:pPr>
              <w:ind w:left="-115"/>
              <w:rPr>
                <w:rFonts w:ascii="Calibri" w:eastAsia="@PMingLiU" w:hAnsi="Calibri" w:cs="Calibri"/>
                <w:szCs w:val="23"/>
              </w:rPr>
            </w:pPr>
            <w:r>
              <w:rPr>
                <w:rFonts w:ascii="Calibri" w:eastAsia="@PMingLiU" w:hAnsi="Calibri" w:cs="Calibri"/>
                <w:szCs w:val="23"/>
              </w:rPr>
              <w:t>3. EDITS Work Group</w:t>
            </w:r>
          </w:p>
        </w:tc>
        <w:tc>
          <w:tcPr>
            <w:tcW w:w="6570" w:type="dxa"/>
            <w:tcBorders>
              <w:top w:val="single" w:sz="8" w:space="0" w:color="auto"/>
              <w:left w:val="nil"/>
              <w:bottom w:val="single" w:sz="8" w:space="0" w:color="auto"/>
              <w:right w:val="single" w:sz="8" w:space="0" w:color="auto"/>
            </w:tcBorders>
          </w:tcPr>
          <w:p w14:paraId="466A8C62" w14:textId="77777777" w:rsidR="00802BEA" w:rsidRPr="0079380D" w:rsidRDefault="00AD3B85" w:rsidP="00D44E1C">
            <w:pPr>
              <w:pStyle w:val="ListParagraph"/>
              <w:numPr>
                <w:ilvl w:val="0"/>
                <w:numId w:val="10"/>
              </w:numPr>
              <w:rPr>
                <w:rFonts w:eastAsia="@PMingLiU" w:cs="Calibri"/>
              </w:rPr>
            </w:pPr>
            <w:r w:rsidRPr="00D44E1C">
              <w:rPr>
                <w:rFonts w:eastAsia="@PMingLiU" w:cs="Calibri"/>
                <w:sz w:val="24"/>
                <w:szCs w:val="24"/>
              </w:rPr>
              <w:t>Develop the NAACCR Edits Metafile.</w:t>
            </w:r>
          </w:p>
        </w:tc>
      </w:tr>
      <w:tr w:rsidR="00802BEA" w:rsidRPr="00B66A0A" w14:paraId="2A525716"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6F678984" w14:textId="77777777" w:rsidR="00802BEA" w:rsidRPr="00E7673C" w:rsidRDefault="00802BEA" w:rsidP="00B17E58">
            <w:pPr>
              <w:ind w:left="-113"/>
              <w:rPr>
                <w:rFonts w:ascii="Calibri" w:eastAsia="@PMingLiU" w:hAnsi="Calibri" w:cs="Calibri"/>
                <w:szCs w:val="23"/>
              </w:rPr>
            </w:pPr>
          </w:p>
        </w:tc>
        <w:tc>
          <w:tcPr>
            <w:tcW w:w="5220" w:type="dxa"/>
            <w:tcBorders>
              <w:top w:val="single" w:sz="8" w:space="0" w:color="auto"/>
              <w:left w:val="nil"/>
              <w:bottom w:val="single" w:sz="8" w:space="0" w:color="auto"/>
              <w:right w:val="single" w:sz="8" w:space="0" w:color="auto"/>
            </w:tcBorders>
          </w:tcPr>
          <w:p w14:paraId="721383B7" w14:textId="77777777" w:rsidR="00802BEA" w:rsidRDefault="00802BEA" w:rsidP="00B17E58">
            <w:pPr>
              <w:ind w:left="-115"/>
              <w:rPr>
                <w:rFonts w:ascii="Calibri" w:eastAsia="@PMingLiU" w:hAnsi="Calibri" w:cs="Calibri"/>
                <w:szCs w:val="23"/>
              </w:rPr>
            </w:pPr>
            <w:r>
              <w:rPr>
                <w:rFonts w:ascii="Calibri" w:eastAsia="@PMingLiU" w:hAnsi="Calibri" w:cs="Calibri"/>
                <w:szCs w:val="23"/>
              </w:rPr>
              <w:t>4. EDITS Impact Work Group</w:t>
            </w:r>
          </w:p>
        </w:tc>
        <w:tc>
          <w:tcPr>
            <w:tcW w:w="6570" w:type="dxa"/>
            <w:tcBorders>
              <w:top w:val="single" w:sz="8" w:space="0" w:color="auto"/>
              <w:left w:val="nil"/>
              <w:bottom w:val="single" w:sz="8" w:space="0" w:color="auto"/>
              <w:right w:val="single" w:sz="8" w:space="0" w:color="auto"/>
            </w:tcBorders>
          </w:tcPr>
          <w:p w14:paraId="71B0E51C" w14:textId="124D4A8E" w:rsidR="00802BEA" w:rsidRPr="00E9294F" w:rsidRDefault="00E9294F" w:rsidP="00EB334E">
            <w:pPr>
              <w:pStyle w:val="ListParagraph"/>
              <w:numPr>
                <w:ilvl w:val="0"/>
                <w:numId w:val="10"/>
              </w:numPr>
              <w:rPr>
                <w:rFonts w:eastAsia="@PMingLiU" w:cs="Calibri"/>
                <w:szCs w:val="23"/>
              </w:rPr>
            </w:pPr>
            <w:r>
              <w:rPr>
                <w:rFonts w:eastAsia="@PMingLiU" w:cs="Calibri"/>
                <w:sz w:val="24"/>
                <w:szCs w:val="24"/>
              </w:rPr>
              <w:t>Consider re-establishment of the work group as a sub-group of the EDITS WG</w:t>
            </w:r>
            <w:r w:rsidR="0013037E">
              <w:rPr>
                <w:rFonts w:eastAsia="@PMingLiU" w:cs="Calibri"/>
                <w:sz w:val="24"/>
                <w:szCs w:val="24"/>
              </w:rPr>
              <w:t>.</w:t>
            </w:r>
          </w:p>
        </w:tc>
      </w:tr>
      <w:tr w:rsidR="00802BEA" w:rsidRPr="00B66A0A" w14:paraId="33D567C3"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33E3C0D5" w14:textId="77777777" w:rsidR="00802BEA" w:rsidRPr="00E7673C" w:rsidRDefault="00802BEA" w:rsidP="00B17E58">
            <w:pPr>
              <w:ind w:left="-113"/>
              <w:rPr>
                <w:rFonts w:ascii="Calibri" w:eastAsia="@PMingLiU" w:hAnsi="Calibri" w:cs="Calibri"/>
                <w:szCs w:val="23"/>
              </w:rPr>
            </w:pPr>
          </w:p>
        </w:tc>
        <w:tc>
          <w:tcPr>
            <w:tcW w:w="5220" w:type="dxa"/>
            <w:tcBorders>
              <w:top w:val="single" w:sz="8" w:space="0" w:color="auto"/>
              <w:left w:val="nil"/>
              <w:bottom w:val="single" w:sz="8" w:space="0" w:color="auto"/>
              <w:right w:val="single" w:sz="8" w:space="0" w:color="auto"/>
            </w:tcBorders>
          </w:tcPr>
          <w:p w14:paraId="43697D0D" w14:textId="71E561DD" w:rsidR="00802BEA" w:rsidRDefault="00802BEA" w:rsidP="00B17E58">
            <w:pPr>
              <w:ind w:left="-115"/>
              <w:rPr>
                <w:rFonts w:ascii="Calibri" w:eastAsia="@PMingLiU" w:hAnsi="Calibri" w:cs="Calibri"/>
                <w:szCs w:val="23"/>
              </w:rPr>
            </w:pPr>
            <w:r>
              <w:rPr>
                <w:rFonts w:ascii="Calibri" w:eastAsia="@PMingLiU" w:hAnsi="Calibri" w:cs="Calibri"/>
                <w:szCs w:val="23"/>
              </w:rPr>
              <w:t>5. ICD-O-3 Implementation Guidelines Work Group</w:t>
            </w:r>
          </w:p>
        </w:tc>
        <w:tc>
          <w:tcPr>
            <w:tcW w:w="6570" w:type="dxa"/>
            <w:tcBorders>
              <w:top w:val="single" w:sz="8" w:space="0" w:color="auto"/>
              <w:left w:val="nil"/>
              <w:bottom w:val="single" w:sz="8" w:space="0" w:color="auto"/>
              <w:right w:val="single" w:sz="8" w:space="0" w:color="auto"/>
            </w:tcBorders>
          </w:tcPr>
          <w:p w14:paraId="40EF351D" w14:textId="696F2620" w:rsidR="00802BEA" w:rsidRPr="00E9294F" w:rsidRDefault="00E9294F" w:rsidP="00EB334E">
            <w:pPr>
              <w:pStyle w:val="ListParagraph"/>
              <w:numPr>
                <w:ilvl w:val="0"/>
                <w:numId w:val="10"/>
              </w:numPr>
              <w:rPr>
                <w:rFonts w:eastAsia="@PMingLiU" w:cs="Calibri"/>
                <w:szCs w:val="23"/>
              </w:rPr>
            </w:pPr>
            <w:r>
              <w:rPr>
                <w:rFonts w:eastAsia="@PMingLiU" w:cs="Calibri"/>
                <w:sz w:val="24"/>
                <w:szCs w:val="24"/>
              </w:rPr>
              <w:t xml:space="preserve">Review </w:t>
            </w:r>
            <w:r w:rsidR="0013037E">
              <w:rPr>
                <w:rFonts w:eastAsia="@PMingLiU" w:cs="Calibri"/>
                <w:sz w:val="24"/>
                <w:szCs w:val="24"/>
              </w:rPr>
              <w:t>additions and changes to ICD-O-3</w:t>
            </w:r>
            <w:r>
              <w:rPr>
                <w:rFonts w:eastAsia="@PMingLiU" w:cs="Calibri"/>
                <w:sz w:val="24"/>
                <w:szCs w:val="24"/>
              </w:rPr>
              <w:t xml:space="preserve"> and provide recommendations </w:t>
            </w:r>
            <w:r w:rsidR="0013037E">
              <w:rPr>
                <w:rFonts w:eastAsia="@PMingLiU" w:cs="Calibri"/>
                <w:sz w:val="24"/>
                <w:szCs w:val="24"/>
              </w:rPr>
              <w:t xml:space="preserve">for implementation </w:t>
            </w:r>
            <w:r>
              <w:rPr>
                <w:rFonts w:eastAsia="@PMingLiU" w:cs="Calibri"/>
                <w:sz w:val="24"/>
                <w:szCs w:val="24"/>
              </w:rPr>
              <w:t>to the Mid-Level Tactical Group</w:t>
            </w:r>
            <w:r w:rsidR="0013037E">
              <w:rPr>
                <w:rFonts w:eastAsia="@PMingLiU" w:cs="Calibri"/>
                <w:sz w:val="24"/>
                <w:szCs w:val="24"/>
              </w:rPr>
              <w:t>.</w:t>
            </w:r>
            <w:r>
              <w:rPr>
                <w:rFonts w:eastAsia="@PMingLiU" w:cs="Calibri"/>
                <w:sz w:val="24"/>
                <w:szCs w:val="24"/>
              </w:rPr>
              <w:t xml:space="preserve"> </w:t>
            </w:r>
          </w:p>
        </w:tc>
      </w:tr>
      <w:tr w:rsidR="00F66B8A" w:rsidRPr="00B66A0A" w14:paraId="6BA0B9E0"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1CFA6F98" w14:textId="77777777" w:rsidR="00F66B8A" w:rsidRPr="00E7673C" w:rsidRDefault="00F66B8A" w:rsidP="00B17E58">
            <w:pPr>
              <w:ind w:left="-113"/>
              <w:rPr>
                <w:rFonts w:ascii="Calibri" w:eastAsia="@PMingLiU" w:hAnsi="Calibri" w:cs="Calibri"/>
                <w:szCs w:val="23"/>
              </w:rPr>
            </w:pPr>
          </w:p>
        </w:tc>
        <w:tc>
          <w:tcPr>
            <w:tcW w:w="5220" w:type="dxa"/>
            <w:tcBorders>
              <w:top w:val="single" w:sz="8" w:space="0" w:color="auto"/>
              <w:left w:val="nil"/>
              <w:bottom w:val="single" w:sz="8" w:space="0" w:color="auto"/>
              <w:right w:val="single" w:sz="8" w:space="0" w:color="auto"/>
            </w:tcBorders>
          </w:tcPr>
          <w:p w14:paraId="4E97E632" w14:textId="77777777" w:rsidR="00F66B8A" w:rsidRDefault="00802BEA" w:rsidP="00B17E58">
            <w:pPr>
              <w:ind w:left="-115"/>
              <w:rPr>
                <w:rFonts w:ascii="Calibri" w:eastAsia="@PMingLiU" w:hAnsi="Calibri" w:cs="Calibri"/>
                <w:szCs w:val="23"/>
              </w:rPr>
            </w:pPr>
            <w:r>
              <w:rPr>
                <w:rFonts w:ascii="Calibri" w:eastAsia="@PMingLiU" w:hAnsi="Calibri" w:cs="Calibri"/>
                <w:szCs w:val="23"/>
              </w:rPr>
              <w:t>6. Implementation Guidelines Task Force</w:t>
            </w:r>
          </w:p>
        </w:tc>
        <w:tc>
          <w:tcPr>
            <w:tcW w:w="6570" w:type="dxa"/>
            <w:tcBorders>
              <w:top w:val="single" w:sz="8" w:space="0" w:color="auto"/>
              <w:left w:val="nil"/>
              <w:bottom w:val="single" w:sz="8" w:space="0" w:color="auto"/>
              <w:right w:val="single" w:sz="8" w:space="0" w:color="auto"/>
            </w:tcBorders>
          </w:tcPr>
          <w:p w14:paraId="3466ED0C" w14:textId="7DB328DB" w:rsidR="00F66B8A" w:rsidRPr="00C56CD1" w:rsidRDefault="002C2CAC" w:rsidP="00EB334E">
            <w:pPr>
              <w:pStyle w:val="ListParagraph"/>
              <w:numPr>
                <w:ilvl w:val="0"/>
                <w:numId w:val="10"/>
              </w:numPr>
              <w:rPr>
                <w:rFonts w:eastAsia="@PMingLiU" w:cs="Calibri"/>
                <w:szCs w:val="24"/>
              </w:rPr>
            </w:pPr>
            <w:r w:rsidRPr="00EB334E">
              <w:rPr>
                <w:rFonts w:eastAsia="@PMingLiU" w:cs="Calibri"/>
                <w:sz w:val="24"/>
                <w:szCs w:val="24"/>
              </w:rPr>
              <w:t xml:space="preserve">Develop a document providing an overview of the changes in cancer surveillance reporting standards that the various stakeholders will need to </w:t>
            </w:r>
            <w:r w:rsidR="00EB334E" w:rsidRPr="00EB334E">
              <w:rPr>
                <w:rFonts w:eastAsia="@PMingLiU" w:cs="Calibri"/>
                <w:sz w:val="24"/>
                <w:szCs w:val="24"/>
              </w:rPr>
              <w:t>consider</w:t>
            </w:r>
            <w:r w:rsidRPr="00EB334E">
              <w:rPr>
                <w:rFonts w:eastAsia="@PMingLiU" w:cs="Calibri"/>
                <w:sz w:val="24"/>
                <w:szCs w:val="24"/>
              </w:rPr>
              <w:t xml:space="preserve"> for the respective data changes for a given year.</w:t>
            </w:r>
          </w:p>
        </w:tc>
      </w:tr>
      <w:tr w:rsidR="00802BEA" w:rsidRPr="00B66A0A" w14:paraId="0B089B08"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1007C262" w14:textId="77777777" w:rsidR="00802BEA" w:rsidRPr="00E7673C" w:rsidRDefault="00802BEA" w:rsidP="00B17E58">
            <w:pPr>
              <w:ind w:left="-113"/>
              <w:rPr>
                <w:rFonts w:ascii="Calibri" w:eastAsia="@PMingLiU" w:hAnsi="Calibri" w:cs="Calibri"/>
                <w:szCs w:val="23"/>
              </w:rPr>
            </w:pPr>
          </w:p>
        </w:tc>
        <w:tc>
          <w:tcPr>
            <w:tcW w:w="5220" w:type="dxa"/>
            <w:tcBorders>
              <w:top w:val="single" w:sz="8" w:space="0" w:color="auto"/>
              <w:left w:val="nil"/>
              <w:bottom w:val="single" w:sz="8" w:space="0" w:color="auto"/>
              <w:right w:val="single" w:sz="8" w:space="0" w:color="auto"/>
            </w:tcBorders>
          </w:tcPr>
          <w:p w14:paraId="14B8F4C2" w14:textId="77777777" w:rsidR="00802BEA" w:rsidRDefault="00802BEA" w:rsidP="00B17E58">
            <w:pPr>
              <w:ind w:left="-115"/>
              <w:rPr>
                <w:rFonts w:ascii="Calibri" w:eastAsia="@PMingLiU" w:hAnsi="Calibri" w:cs="Calibri"/>
                <w:szCs w:val="23"/>
              </w:rPr>
            </w:pPr>
            <w:r>
              <w:rPr>
                <w:rFonts w:ascii="Calibri" w:eastAsia="@PMingLiU" w:hAnsi="Calibri" w:cs="Calibri"/>
                <w:szCs w:val="23"/>
              </w:rPr>
              <w:t>7. Volume V Revision Task Force</w:t>
            </w:r>
          </w:p>
        </w:tc>
        <w:tc>
          <w:tcPr>
            <w:tcW w:w="6570" w:type="dxa"/>
            <w:tcBorders>
              <w:top w:val="single" w:sz="8" w:space="0" w:color="auto"/>
              <w:left w:val="nil"/>
              <w:bottom w:val="single" w:sz="8" w:space="0" w:color="auto"/>
              <w:right w:val="single" w:sz="8" w:space="0" w:color="auto"/>
            </w:tcBorders>
          </w:tcPr>
          <w:p w14:paraId="16927113" w14:textId="77777777" w:rsidR="00802BEA" w:rsidRPr="0079380D" w:rsidRDefault="00AD3B85" w:rsidP="00D44E1C">
            <w:pPr>
              <w:pStyle w:val="ListParagraph"/>
              <w:numPr>
                <w:ilvl w:val="0"/>
                <w:numId w:val="10"/>
              </w:numPr>
              <w:rPr>
                <w:rFonts w:eastAsia="@PMingLiU" w:cs="Calibri"/>
              </w:rPr>
            </w:pPr>
            <w:r w:rsidRPr="00D44E1C">
              <w:rPr>
                <w:rFonts w:eastAsia="@PMingLiU" w:cs="Calibri"/>
                <w:sz w:val="24"/>
                <w:szCs w:val="24"/>
              </w:rPr>
              <w:t>Review and update NAACCR Standards, Volume V, version 4.0 to include additional guidance for reporting original pathology report information with biomarker and molecular laboratory test data.</w:t>
            </w:r>
          </w:p>
        </w:tc>
      </w:tr>
      <w:tr w:rsidR="00F66B8A" w:rsidRPr="00B66A0A" w14:paraId="4994B1DA"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7EACEFBE" w14:textId="77777777" w:rsidR="00F66B8A" w:rsidRPr="00E7673C" w:rsidRDefault="00F66B8A" w:rsidP="00F66B8A">
            <w:pPr>
              <w:ind w:left="-113"/>
              <w:rPr>
                <w:rFonts w:ascii="Calibri" w:hAnsi="Calibri" w:cs="Calibri"/>
                <w:b/>
                <w:bCs/>
                <w:szCs w:val="23"/>
              </w:rPr>
            </w:pPr>
            <w:r w:rsidRPr="00E7673C">
              <w:rPr>
                <w:rFonts w:ascii="Calibri" w:eastAsia="@PMingLiU" w:hAnsi="Calibri" w:cs="Calibri"/>
                <w:szCs w:val="23"/>
              </w:rPr>
              <w:t xml:space="preserve">2. </w:t>
            </w:r>
            <w:r>
              <w:rPr>
                <w:rFonts w:ascii="Calibri" w:eastAsia="@PMingLiU" w:hAnsi="Calibri" w:cs="Calibri"/>
                <w:szCs w:val="23"/>
              </w:rPr>
              <w:t>Develop methods to simplify the death clearance process to improve efficiency and reduce cost</w:t>
            </w:r>
            <w:r w:rsidRPr="00E7673C">
              <w:rPr>
                <w:rFonts w:ascii="Calibri" w:eastAsia="@PMingLiU" w:hAnsi="Calibri" w:cs="Calibri"/>
                <w:szCs w:val="23"/>
              </w:rPr>
              <w:t>.</w:t>
            </w:r>
          </w:p>
        </w:tc>
        <w:tc>
          <w:tcPr>
            <w:tcW w:w="5220" w:type="dxa"/>
            <w:tcBorders>
              <w:top w:val="single" w:sz="8" w:space="0" w:color="auto"/>
              <w:left w:val="nil"/>
              <w:bottom w:val="single" w:sz="8" w:space="0" w:color="auto"/>
              <w:right w:val="single" w:sz="8" w:space="0" w:color="auto"/>
            </w:tcBorders>
          </w:tcPr>
          <w:p w14:paraId="4B76561E" w14:textId="77777777" w:rsidR="00F66B8A" w:rsidRPr="00E7673C" w:rsidRDefault="00882D86" w:rsidP="00B17E58">
            <w:pPr>
              <w:ind w:left="-115"/>
              <w:rPr>
                <w:rFonts w:ascii="Calibri" w:eastAsia="@PMingLiU" w:hAnsi="Calibri" w:cs="Calibri"/>
                <w:szCs w:val="23"/>
              </w:rPr>
            </w:pPr>
            <w:r>
              <w:rPr>
                <w:rFonts w:ascii="Calibri" w:eastAsia="@PMingLiU" w:hAnsi="Calibri" w:cs="Calibri"/>
                <w:szCs w:val="23"/>
              </w:rPr>
              <w:t>ON HOLD</w:t>
            </w:r>
          </w:p>
        </w:tc>
        <w:tc>
          <w:tcPr>
            <w:tcW w:w="6570" w:type="dxa"/>
            <w:tcBorders>
              <w:top w:val="single" w:sz="8" w:space="0" w:color="auto"/>
              <w:left w:val="nil"/>
              <w:bottom w:val="single" w:sz="8" w:space="0" w:color="auto"/>
              <w:right w:val="single" w:sz="8" w:space="0" w:color="auto"/>
            </w:tcBorders>
          </w:tcPr>
          <w:p w14:paraId="15D28DC0" w14:textId="77777777" w:rsidR="00F66B8A" w:rsidRPr="00E7673C" w:rsidRDefault="00F66B8A" w:rsidP="00B17E58">
            <w:pPr>
              <w:tabs>
                <w:tab w:val="left" w:pos="147"/>
              </w:tabs>
              <w:ind w:left="-113"/>
              <w:rPr>
                <w:rFonts w:ascii="Calibri" w:eastAsia="@PMingLiU" w:hAnsi="Calibri" w:cs="Calibri"/>
                <w:szCs w:val="23"/>
              </w:rPr>
            </w:pPr>
          </w:p>
        </w:tc>
      </w:tr>
      <w:tr w:rsidR="00F66B8A" w:rsidRPr="00B66A0A" w14:paraId="7D807B5B"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22543E52" w14:textId="77777777" w:rsidR="00F66B8A" w:rsidRPr="00E7673C" w:rsidRDefault="00F66B8A" w:rsidP="00882D86">
            <w:pPr>
              <w:tabs>
                <w:tab w:val="left" w:pos="72"/>
              </w:tabs>
              <w:ind w:left="-72"/>
              <w:rPr>
                <w:rFonts w:ascii="Calibri" w:hAnsi="Calibri" w:cs="Calibri"/>
                <w:szCs w:val="23"/>
              </w:rPr>
            </w:pPr>
            <w:r w:rsidRPr="00E7673C">
              <w:rPr>
                <w:rFonts w:ascii="Calibri" w:hAnsi="Calibri" w:cs="Calibri"/>
                <w:szCs w:val="23"/>
              </w:rPr>
              <w:t xml:space="preserve">3. </w:t>
            </w:r>
            <w:r w:rsidR="00882D86">
              <w:rPr>
                <w:rFonts w:ascii="Calibri" w:eastAsia="@PMingLiU" w:hAnsi="Calibri" w:cs="Calibri"/>
                <w:szCs w:val="23"/>
              </w:rPr>
              <w:t>Facilitate automation of record consolidation by developing general principles and consolidation guidelines</w:t>
            </w:r>
          </w:p>
        </w:tc>
        <w:tc>
          <w:tcPr>
            <w:tcW w:w="5220" w:type="dxa"/>
            <w:tcBorders>
              <w:top w:val="single" w:sz="8" w:space="0" w:color="auto"/>
              <w:left w:val="nil"/>
              <w:bottom w:val="single" w:sz="8" w:space="0" w:color="auto"/>
              <w:right w:val="single" w:sz="8" w:space="0" w:color="auto"/>
            </w:tcBorders>
          </w:tcPr>
          <w:p w14:paraId="12612555" w14:textId="5D9B0F1E" w:rsidR="00802BEA" w:rsidRPr="00802BEA" w:rsidRDefault="0062724A" w:rsidP="00802BEA">
            <w:pPr>
              <w:ind w:left="-115"/>
              <w:rPr>
                <w:rFonts w:ascii="Calibri" w:hAnsi="Calibri" w:cs="Calibri"/>
                <w:szCs w:val="23"/>
              </w:rPr>
            </w:pPr>
            <w:r>
              <w:rPr>
                <w:rFonts w:ascii="Calibri" w:hAnsi="Calibri" w:cs="Calibri"/>
                <w:szCs w:val="23"/>
              </w:rPr>
              <w:t xml:space="preserve">1. </w:t>
            </w:r>
            <w:r w:rsidR="00C12AAA">
              <w:rPr>
                <w:rFonts w:ascii="Calibri" w:hAnsi="Calibri" w:cs="Calibri"/>
                <w:szCs w:val="23"/>
              </w:rPr>
              <w:t>S&amp;RD</w:t>
            </w:r>
          </w:p>
        </w:tc>
        <w:tc>
          <w:tcPr>
            <w:tcW w:w="6570" w:type="dxa"/>
            <w:tcBorders>
              <w:top w:val="single" w:sz="8" w:space="0" w:color="auto"/>
              <w:left w:val="nil"/>
              <w:bottom w:val="single" w:sz="8" w:space="0" w:color="auto"/>
              <w:right w:val="single" w:sz="8" w:space="0" w:color="auto"/>
            </w:tcBorders>
          </w:tcPr>
          <w:p w14:paraId="776E769D" w14:textId="0E938F6A" w:rsidR="00CD3130" w:rsidRPr="00EB334E" w:rsidRDefault="00CD3130" w:rsidP="00CD3130">
            <w:pPr>
              <w:pStyle w:val="ListParagraph"/>
              <w:numPr>
                <w:ilvl w:val="0"/>
                <w:numId w:val="10"/>
              </w:numPr>
              <w:rPr>
                <w:rFonts w:cs="Calibri"/>
                <w:sz w:val="24"/>
                <w:szCs w:val="24"/>
              </w:rPr>
            </w:pPr>
            <w:r w:rsidRPr="00EB334E">
              <w:rPr>
                <w:rFonts w:cs="Calibri"/>
                <w:sz w:val="24"/>
                <w:szCs w:val="24"/>
              </w:rPr>
              <w:t xml:space="preserve">Highlight existing NAACCR </w:t>
            </w:r>
            <w:r>
              <w:rPr>
                <w:rFonts w:cs="Calibri"/>
                <w:sz w:val="24"/>
                <w:szCs w:val="24"/>
              </w:rPr>
              <w:t xml:space="preserve">Data Item </w:t>
            </w:r>
            <w:r w:rsidRPr="00EB334E">
              <w:rPr>
                <w:rFonts w:cs="Calibri"/>
                <w:sz w:val="24"/>
                <w:szCs w:val="24"/>
              </w:rPr>
              <w:t>Consolidation Manual</w:t>
            </w:r>
          </w:p>
          <w:p w14:paraId="013850EF" w14:textId="181FBA2C" w:rsidR="00CD3130" w:rsidRPr="00B023C8" w:rsidRDefault="00CD3130" w:rsidP="00CD3130">
            <w:pPr>
              <w:pStyle w:val="ListParagraph"/>
              <w:numPr>
                <w:ilvl w:val="0"/>
                <w:numId w:val="10"/>
              </w:numPr>
              <w:rPr>
                <w:rFonts w:cs="Calibri"/>
                <w:szCs w:val="23"/>
              </w:rPr>
            </w:pPr>
            <w:r>
              <w:rPr>
                <w:rFonts w:cs="Calibri"/>
                <w:sz w:val="24"/>
                <w:szCs w:val="24"/>
              </w:rPr>
              <w:t xml:space="preserve">Assess if NAACCR can provide SEER/NPCR work group leads with assistance in their auto-consolidation </w:t>
            </w:r>
            <w:r w:rsidR="00D277FB">
              <w:rPr>
                <w:rFonts w:cs="Calibri"/>
                <w:sz w:val="24"/>
                <w:szCs w:val="24"/>
              </w:rPr>
              <w:t xml:space="preserve">development </w:t>
            </w:r>
            <w:r>
              <w:rPr>
                <w:rFonts w:cs="Calibri"/>
                <w:sz w:val="24"/>
                <w:szCs w:val="24"/>
              </w:rPr>
              <w:t>efforts</w:t>
            </w:r>
          </w:p>
          <w:p w14:paraId="33E1EE51" w14:textId="2F1C9AE1" w:rsidR="00CD3130" w:rsidRPr="00CD3130" w:rsidRDefault="00CD3130" w:rsidP="00EB334E">
            <w:pPr>
              <w:pStyle w:val="ListParagraph"/>
              <w:ind w:left="607"/>
              <w:rPr>
                <w:rFonts w:cs="Calibri"/>
                <w:szCs w:val="23"/>
              </w:rPr>
            </w:pPr>
          </w:p>
        </w:tc>
      </w:tr>
      <w:tr w:rsidR="00882D86" w:rsidRPr="00B66A0A" w14:paraId="491314AA"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0FE17543" w14:textId="77777777" w:rsidR="00882D86" w:rsidRPr="00E7673C" w:rsidRDefault="00882D86" w:rsidP="00882D86">
            <w:pPr>
              <w:tabs>
                <w:tab w:val="left" w:pos="72"/>
              </w:tabs>
              <w:ind w:left="-72"/>
              <w:rPr>
                <w:rFonts w:ascii="Calibri" w:hAnsi="Calibri" w:cs="Calibri"/>
                <w:szCs w:val="23"/>
              </w:rPr>
            </w:pPr>
            <w:r>
              <w:rPr>
                <w:rFonts w:ascii="Calibri" w:hAnsi="Calibri" w:cs="Calibri"/>
                <w:szCs w:val="23"/>
              </w:rPr>
              <w:t>4. Provide guidelines to central registries that will improve the timeliness of cancer reporting</w:t>
            </w:r>
          </w:p>
        </w:tc>
        <w:tc>
          <w:tcPr>
            <w:tcW w:w="5220" w:type="dxa"/>
            <w:tcBorders>
              <w:top w:val="single" w:sz="8" w:space="0" w:color="auto"/>
              <w:left w:val="nil"/>
              <w:bottom w:val="single" w:sz="8" w:space="0" w:color="auto"/>
              <w:right w:val="single" w:sz="8" w:space="0" w:color="auto"/>
            </w:tcBorders>
          </w:tcPr>
          <w:p w14:paraId="575C494E" w14:textId="0CBD52D4" w:rsidR="00882D86" w:rsidRDefault="00CD3130" w:rsidP="00EB334E">
            <w:pPr>
              <w:rPr>
                <w:rFonts w:ascii="Calibri" w:eastAsia="@PMingLiU" w:hAnsi="Calibri" w:cs="Calibri"/>
                <w:szCs w:val="23"/>
              </w:rPr>
            </w:pPr>
            <w:r>
              <w:rPr>
                <w:rFonts w:ascii="Calibri" w:eastAsia="@PMingLiU" w:hAnsi="Calibri" w:cs="Calibri"/>
                <w:szCs w:val="23"/>
              </w:rPr>
              <w:t>O</w:t>
            </w:r>
            <w:r w:rsidR="00485DF4">
              <w:rPr>
                <w:rFonts w:ascii="Calibri" w:eastAsia="@PMingLiU" w:hAnsi="Calibri" w:cs="Calibri"/>
                <w:szCs w:val="23"/>
              </w:rPr>
              <w:t>N HOLD</w:t>
            </w:r>
            <w:r>
              <w:rPr>
                <w:rFonts w:ascii="Calibri" w:eastAsia="@PMingLiU" w:hAnsi="Calibri" w:cs="Calibri"/>
                <w:szCs w:val="23"/>
              </w:rPr>
              <w:t xml:space="preserve"> pending final report from the NAACCR/NACDD operations/timeliness project.</w:t>
            </w:r>
          </w:p>
        </w:tc>
        <w:tc>
          <w:tcPr>
            <w:tcW w:w="6570" w:type="dxa"/>
            <w:tcBorders>
              <w:top w:val="single" w:sz="8" w:space="0" w:color="auto"/>
              <w:left w:val="nil"/>
              <w:bottom w:val="single" w:sz="8" w:space="0" w:color="auto"/>
              <w:right w:val="single" w:sz="8" w:space="0" w:color="auto"/>
            </w:tcBorders>
          </w:tcPr>
          <w:p w14:paraId="0A75177F" w14:textId="77777777" w:rsidR="00882D86" w:rsidRPr="00E7673C" w:rsidRDefault="00882D86" w:rsidP="00882D86">
            <w:pPr>
              <w:rPr>
                <w:rFonts w:ascii="Calibri" w:hAnsi="Calibri" w:cs="Calibri"/>
                <w:szCs w:val="23"/>
              </w:rPr>
            </w:pPr>
          </w:p>
        </w:tc>
      </w:tr>
      <w:tr w:rsidR="00E9294F" w:rsidRPr="00B66A0A" w14:paraId="10D11131"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76EBDF05" w14:textId="0A93F3A5" w:rsidR="00E9294F" w:rsidRDefault="00E9294F" w:rsidP="00882D86">
            <w:pPr>
              <w:tabs>
                <w:tab w:val="left" w:pos="72"/>
              </w:tabs>
              <w:ind w:left="-72"/>
              <w:rPr>
                <w:rFonts w:ascii="Calibri" w:hAnsi="Calibri" w:cs="Calibri"/>
                <w:szCs w:val="23"/>
              </w:rPr>
            </w:pPr>
            <w:r>
              <w:rPr>
                <w:rFonts w:ascii="Calibri" w:hAnsi="Calibri" w:cs="Calibri"/>
                <w:szCs w:val="23"/>
              </w:rPr>
              <w:lastRenderedPageBreak/>
              <w:t>5. Collaborate with the Research and Data Use Steering Committee to develop best practices for inter-state de-duplication</w:t>
            </w:r>
          </w:p>
        </w:tc>
        <w:tc>
          <w:tcPr>
            <w:tcW w:w="5220" w:type="dxa"/>
            <w:tcBorders>
              <w:top w:val="single" w:sz="8" w:space="0" w:color="auto"/>
              <w:left w:val="nil"/>
              <w:bottom w:val="single" w:sz="8" w:space="0" w:color="auto"/>
              <w:right w:val="single" w:sz="8" w:space="0" w:color="auto"/>
            </w:tcBorders>
          </w:tcPr>
          <w:p w14:paraId="51D7BBE6" w14:textId="0BB84E7C" w:rsidR="00E9294F" w:rsidDel="00E9294F" w:rsidRDefault="00265234" w:rsidP="00B17E58">
            <w:pPr>
              <w:ind w:left="-115"/>
              <w:rPr>
                <w:rFonts w:ascii="Calibri" w:eastAsia="@PMingLiU" w:hAnsi="Calibri" w:cs="Calibri"/>
                <w:szCs w:val="23"/>
              </w:rPr>
            </w:pPr>
            <w:r>
              <w:rPr>
                <w:rFonts w:ascii="Calibri" w:eastAsia="@PMingLiU" w:hAnsi="Calibri" w:cs="Calibri"/>
                <w:szCs w:val="23"/>
              </w:rPr>
              <w:t xml:space="preserve">1. </w:t>
            </w:r>
            <w:r w:rsidR="00485DF4">
              <w:rPr>
                <w:rFonts w:ascii="Calibri" w:eastAsia="@PMingLiU" w:hAnsi="Calibri" w:cs="Calibri"/>
                <w:szCs w:val="23"/>
              </w:rPr>
              <w:t>TBD</w:t>
            </w:r>
          </w:p>
        </w:tc>
        <w:tc>
          <w:tcPr>
            <w:tcW w:w="6570" w:type="dxa"/>
            <w:tcBorders>
              <w:top w:val="single" w:sz="8" w:space="0" w:color="auto"/>
              <w:left w:val="nil"/>
              <w:bottom w:val="single" w:sz="8" w:space="0" w:color="auto"/>
              <w:right w:val="single" w:sz="8" w:space="0" w:color="auto"/>
            </w:tcBorders>
          </w:tcPr>
          <w:p w14:paraId="5C5054C6" w14:textId="732A51AE" w:rsidR="00E9294F" w:rsidRPr="0013037E" w:rsidRDefault="0013037E" w:rsidP="00EB334E">
            <w:pPr>
              <w:pStyle w:val="ListParagraph"/>
              <w:numPr>
                <w:ilvl w:val="0"/>
                <w:numId w:val="10"/>
              </w:numPr>
              <w:rPr>
                <w:rFonts w:cs="Calibri"/>
                <w:szCs w:val="23"/>
              </w:rPr>
            </w:pPr>
            <w:r>
              <w:rPr>
                <w:rFonts w:cs="Calibri"/>
                <w:sz w:val="24"/>
                <w:szCs w:val="24"/>
              </w:rPr>
              <w:t>Provide central registry operational input to the RDU regarding inter-state de-duplication best practices.</w:t>
            </w:r>
          </w:p>
        </w:tc>
      </w:tr>
      <w:tr w:rsidR="00E9294F" w:rsidRPr="00B66A0A" w14:paraId="33A9A4F4"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193ED510" w14:textId="4A965AFF" w:rsidR="00E9294F" w:rsidRDefault="00E9294F" w:rsidP="00882D86">
            <w:pPr>
              <w:tabs>
                <w:tab w:val="left" w:pos="72"/>
              </w:tabs>
              <w:ind w:left="-72"/>
              <w:rPr>
                <w:rFonts w:ascii="Calibri" w:hAnsi="Calibri" w:cs="Calibri"/>
                <w:szCs w:val="23"/>
              </w:rPr>
            </w:pPr>
            <w:r>
              <w:rPr>
                <w:rFonts w:ascii="Calibri" w:hAnsi="Calibri" w:cs="Calibri"/>
                <w:szCs w:val="23"/>
              </w:rPr>
              <w:t>6. Develop best practices regarding NDI linkage for use by all states</w:t>
            </w:r>
          </w:p>
        </w:tc>
        <w:tc>
          <w:tcPr>
            <w:tcW w:w="5220" w:type="dxa"/>
            <w:tcBorders>
              <w:top w:val="single" w:sz="8" w:space="0" w:color="auto"/>
              <w:left w:val="nil"/>
              <w:bottom w:val="single" w:sz="8" w:space="0" w:color="auto"/>
              <w:right w:val="single" w:sz="8" w:space="0" w:color="auto"/>
            </w:tcBorders>
          </w:tcPr>
          <w:p w14:paraId="1A808C20" w14:textId="6415516E" w:rsidR="00E9294F" w:rsidDel="00E9294F" w:rsidRDefault="00265234" w:rsidP="00B17E58">
            <w:pPr>
              <w:ind w:left="-115"/>
              <w:rPr>
                <w:rFonts w:ascii="Calibri" w:eastAsia="@PMingLiU" w:hAnsi="Calibri" w:cs="Calibri"/>
                <w:szCs w:val="23"/>
              </w:rPr>
            </w:pPr>
            <w:r>
              <w:rPr>
                <w:rFonts w:ascii="Calibri" w:eastAsia="@PMingLiU" w:hAnsi="Calibri" w:cs="Calibri"/>
                <w:szCs w:val="23"/>
              </w:rPr>
              <w:t xml:space="preserve">1. </w:t>
            </w:r>
            <w:r w:rsidR="00485DF4">
              <w:rPr>
                <w:rFonts w:ascii="Calibri" w:eastAsia="@PMingLiU" w:hAnsi="Calibri" w:cs="Calibri"/>
                <w:szCs w:val="23"/>
              </w:rPr>
              <w:t>TBD</w:t>
            </w:r>
          </w:p>
        </w:tc>
        <w:tc>
          <w:tcPr>
            <w:tcW w:w="6570" w:type="dxa"/>
            <w:tcBorders>
              <w:top w:val="single" w:sz="8" w:space="0" w:color="auto"/>
              <w:left w:val="nil"/>
              <w:bottom w:val="single" w:sz="8" w:space="0" w:color="auto"/>
              <w:right w:val="single" w:sz="8" w:space="0" w:color="auto"/>
            </w:tcBorders>
          </w:tcPr>
          <w:p w14:paraId="508C5BC6" w14:textId="306A330A" w:rsidR="00E9294F" w:rsidRPr="00C56CD1" w:rsidRDefault="00D277FB" w:rsidP="00EB334E">
            <w:pPr>
              <w:pStyle w:val="ListParagraph"/>
              <w:numPr>
                <w:ilvl w:val="0"/>
                <w:numId w:val="10"/>
              </w:numPr>
              <w:rPr>
                <w:rFonts w:cs="Calibri"/>
                <w:szCs w:val="24"/>
              </w:rPr>
            </w:pPr>
            <w:r w:rsidRPr="00EB334E">
              <w:rPr>
                <w:rFonts w:cs="Calibri"/>
                <w:sz w:val="24"/>
                <w:szCs w:val="24"/>
              </w:rPr>
              <w:t xml:space="preserve">Collaborate with the RDU to develop best practices regarding NDI linkage for use by all central registries.  </w:t>
            </w:r>
          </w:p>
        </w:tc>
      </w:tr>
    </w:tbl>
    <w:p w14:paraId="7C0C9A11" w14:textId="77777777" w:rsidR="00882D86" w:rsidRDefault="00882D86" w:rsidP="008E219E">
      <w:pPr>
        <w:sectPr w:rsidR="00882D86" w:rsidSect="00E7673C">
          <w:pgSz w:w="15840" w:h="12240" w:orient="landscape"/>
          <w:pgMar w:top="1800" w:right="1440" w:bottom="1800" w:left="1440" w:header="720" w:footer="720" w:gutter="0"/>
          <w:cols w:space="720"/>
          <w:docGrid w:linePitch="360"/>
        </w:sectPr>
      </w:pPr>
    </w:p>
    <w:tbl>
      <w:tblPr>
        <w:tblW w:w="14670" w:type="dxa"/>
        <w:tblInd w:w="-792" w:type="dxa"/>
        <w:tblLayout w:type="fixed"/>
        <w:tblLook w:val="0000" w:firstRow="0" w:lastRow="0" w:firstColumn="0" w:lastColumn="0" w:noHBand="0" w:noVBand="0"/>
      </w:tblPr>
      <w:tblGrid>
        <w:gridCol w:w="2880"/>
        <w:gridCol w:w="5220"/>
        <w:gridCol w:w="6570"/>
      </w:tblGrid>
      <w:tr w:rsidR="00882D86" w:rsidRPr="00B66A0A" w14:paraId="56DE2F78" w14:textId="77777777" w:rsidTr="00B17E58">
        <w:trPr>
          <w:cantSplit/>
          <w:tblHeader/>
        </w:trPr>
        <w:tc>
          <w:tcPr>
            <w:tcW w:w="14670" w:type="dxa"/>
            <w:gridSpan w:val="3"/>
            <w:tcBorders>
              <w:top w:val="single" w:sz="8" w:space="0" w:color="auto"/>
              <w:left w:val="single" w:sz="8" w:space="0" w:color="auto"/>
              <w:bottom w:val="single" w:sz="8" w:space="0" w:color="auto"/>
              <w:right w:val="single" w:sz="8" w:space="0" w:color="000000"/>
            </w:tcBorders>
          </w:tcPr>
          <w:p w14:paraId="0A7F75FD" w14:textId="1F636422" w:rsidR="00882D86" w:rsidRPr="00E7673C" w:rsidRDefault="00882D86" w:rsidP="00B17E58">
            <w:pPr>
              <w:jc w:val="center"/>
              <w:rPr>
                <w:rFonts w:ascii="Calibri" w:hAnsi="Calibri" w:cs="Calibri"/>
                <w:b/>
                <w:bCs/>
                <w:szCs w:val="23"/>
              </w:rPr>
            </w:pPr>
            <w:r w:rsidRPr="00E7673C">
              <w:rPr>
                <w:rFonts w:ascii="Calibri" w:hAnsi="Calibri" w:cs="Calibri"/>
                <w:szCs w:val="23"/>
              </w:rPr>
              <w:lastRenderedPageBreak/>
              <w:br w:type="page"/>
            </w:r>
            <w:r>
              <w:rPr>
                <w:rFonts w:ascii="Calibri" w:hAnsi="Calibri" w:cs="Calibri"/>
                <w:b/>
                <w:bCs/>
              </w:rPr>
              <w:t>S&amp;RD</w:t>
            </w:r>
            <w:r w:rsidRPr="00E7673C">
              <w:rPr>
                <w:rFonts w:ascii="Calibri" w:hAnsi="Calibri" w:cs="Calibri"/>
                <w:b/>
                <w:bCs/>
              </w:rPr>
              <w:t xml:space="preserve"> Work Plan </w:t>
            </w:r>
            <w:r>
              <w:rPr>
                <w:rFonts w:ascii="Calibri" w:hAnsi="Calibri" w:cs="Calibri"/>
                <w:b/>
                <w:bCs/>
              </w:rPr>
              <w:t>July 1</w:t>
            </w:r>
            <w:r w:rsidRPr="00E7673C">
              <w:rPr>
                <w:rFonts w:ascii="Calibri" w:hAnsi="Calibri" w:cs="Calibri"/>
                <w:b/>
                <w:bCs/>
              </w:rPr>
              <w:t>, 201</w:t>
            </w:r>
            <w:r w:rsidR="00E9294F">
              <w:rPr>
                <w:rFonts w:ascii="Calibri" w:hAnsi="Calibri" w:cs="Calibri"/>
                <w:b/>
                <w:bCs/>
              </w:rPr>
              <w:t>9</w:t>
            </w:r>
            <w:r w:rsidRPr="00E7673C">
              <w:rPr>
                <w:rFonts w:ascii="Calibri" w:hAnsi="Calibri" w:cs="Calibri"/>
                <w:b/>
                <w:bCs/>
              </w:rPr>
              <w:t xml:space="preserve"> – June </w:t>
            </w:r>
            <w:r>
              <w:rPr>
                <w:rFonts w:ascii="Calibri" w:hAnsi="Calibri" w:cs="Calibri"/>
                <w:b/>
                <w:bCs/>
              </w:rPr>
              <w:t>30</w:t>
            </w:r>
            <w:r w:rsidRPr="00E7673C">
              <w:rPr>
                <w:rFonts w:ascii="Calibri" w:hAnsi="Calibri" w:cs="Calibri"/>
                <w:b/>
                <w:bCs/>
              </w:rPr>
              <w:t>, 20</w:t>
            </w:r>
            <w:r w:rsidR="00E9294F">
              <w:rPr>
                <w:rFonts w:ascii="Calibri" w:hAnsi="Calibri" w:cs="Calibri"/>
                <w:b/>
                <w:bCs/>
              </w:rPr>
              <w:t>2</w:t>
            </w:r>
            <w:r w:rsidR="00BA4D7F">
              <w:rPr>
                <w:rFonts w:ascii="Calibri" w:hAnsi="Calibri" w:cs="Calibri"/>
                <w:b/>
                <w:bCs/>
              </w:rPr>
              <w:t>0</w:t>
            </w:r>
          </w:p>
        </w:tc>
      </w:tr>
      <w:tr w:rsidR="00882D86" w:rsidRPr="00B66A0A" w14:paraId="583CCEAD" w14:textId="77777777" w:rsidTr="00B17E58">
        <w:trPr>
          <w:cantSplit/>
          <w:trHeight w:val="509"/>
          <w:tblHeader/>
        </w:trPr>
        <w:tc>
          <w:tcPr>
            <w:tcW w:w="14670" w:type="dxa"/>
            <w:gridSpan w:val="3"/>
            <w:vMerge w:val="restart"/>
            <w:tcBorders>
              <w:top w:val="single" w:sz="8" w:space="0" w:color="auto"/>
              <w:left w:val="single" w:sz="8" w:space="0" w:color="auto"/>
              <w:bottom w:val="single" w:sz="8" w:space="0" w:color="000000"/>
              <w:right w:val="single" w:sz="8" w:space="0" w:color="000000"/>
            </w:tcBorders>
          </w:tcPr>
          <w:p w14:paraId="24CFF027" w14:textId="11CB122F" w:rsidR="00882D86" w:rsidRPr="00E7673C" w:rsidRDefault="00882D86" w:rsidP="00883ABA">
            <w:pPr>
              <w:rPr>
                <w:rFonts w:ascii="Calibri" w:hAnsi="Calibri" w:cs="Calibri"/>
                <w:b/>
                <w:bCs/>
                <w:szCs w:val="23"/>
              </w:rPr>
            </w:pPr>
            <w:r>
              <w:rPr>
                <w:rFonts w:ascii="Calibri" w:hAnsi="Calibri" w:cs="Calibri"/>
                <w:b/>
                <w:bCs/>
                <w:szCs w:val="23"/>
              </w:rPr>
              <w:t xml:space="preserve">NAACCR SMP </w:t>
            </w:r>
            <w:r w:rsidRPr="00E7673C">
              <w:rPr>
                <w:rFonts w:ascii="Calibri" w:hAnsi="Calibri" w:cs="Calibri"/>
                <w:b/>
                <w:bCs/>
                <w:szCs w:val="23"/>
              </w:rPr>
              <w:t xml:space="preserve">Goal </w:t>
            </w:r>
            <w:r w:rsidR="00883ABA">
              <w:rPr>
                <w:rFonts w:ascii="Calibri" w:hAnsi="Calibri" w:cs="Calibri"/>
                <w:b/>
                <w:bCs/>
                <w:szCs w:val="23"/>
              </w:rPr>
              <w:t>3</w:t>
            </w:r>
            <w:r w:rsidRPr="00E7673C">
              <w:rPr>
                <w:rFonts w:ascii="Calibri" w:hAnsi="Calibri" w:cs="Calibri"/>
                <w:b/>
                <w:bCs/>
                <w:szCs w:val="23"/>
              </w:rPr>
              <w:t xml:space="preserve">:  </w:t>
            </w:r>
            <w:r>
              <w:rPr>
                <w:rFonts w:ascii="Calibri" w:hAnsi="Calibri" w:cs="Calibri"/>
                <w:b/>
                <w:bCs/>
                <w:szCs w:val="23"/>
              </w:rPr>
              <w:t>EXPLORE INNOVATIVE USES OF CANCER REGISTRIES BY IDENTIFYING EMERGING INITIATIVES AND NEW ROLES THAT BRING VALUE-ADDED BENEFITS TO CANCER SURVEILLANCE, RESEARCH AND CANCER CONTROL</w:t>
            </w:r>
          </w:p>
        </w:tc>
      </w:tr>
      <w:tr w:rsidR="00882D86" w:rsidRPr="00B66A0A" w14:paraId="1704C2A8" w14:textId="77777777" w:rsidTr="00B17E58">
        <w:trPr>
          <w:cantSplit/>
          <w:trHeight w:val="509"/>
          <w:tblHeader/>
        </w:trPr>
        <w:tc>
          <w:tcPr>
            <w:tcW w:w="14670" w:type="dxa"/>
            <w:gridSpan w:val="3"/>
            <w:vMerge/>
            <w:tcBorders>
              <w:top w:val="single" w:sz="8" w:space="0" w:color="auto"/>
              <w:left w:val="single" w:sz="8" w:space="0" w:color="auto"/>
              <w:bottom w:val="single" w:sz="8" w:space="0" w:color="000000"/>
              <w:right w:val="single" w:sz="8" w:space="0" w:color="000000"/>
            </w:tcBorders>
            <w:vAlign w:val="center"/>
          </w:tcPr>
          <w:p w14:paraId="2FD199C4" w14:textId="77777777" w:rsidR="00882D86" w:rsidRPr="00E7673C" w:rsidRDefault="00882D86" w:rsidP="00B17E58">
            <w:pPr>
              <w:rPr>
                <w:rFonts w:ascii="Calibri" w:hAnsi="Calibri" w:cs="Calibri"/>
                <w:b/>
                <w:bCs/>
                <w:szCs w:val="23"/>
              </w:rPr>
            </w:pPr>
          </w:p>
        </w:tc>
      </w:tr>
      <w:tr w:rsidR="00882D86" w:rsidRPr="00B66A0A" w14:paraId="39871297" w14:textId="77777777" w:rsidTr="00B17E58">
        <w:trPr>
          <w:cantSplit/>
          <w:tblHeader/>
        </w:trPr>
        <w:tc>
          <w:tcPr>
            <w:tcW w:w="2880" w:type="dxa"/>
            <w:tcBorders>
              <w:top w:val="nil"/>
              <w:left w:val="single" w:sz="8" w:space="0" w:color="auto"/>
              <w:bottom w:val="single" w:sz="8" w:space="0" w:color="auto"/>
              <w:right w:val="single" w:sz="8" w:space="0" w:color="auto"/>
            </w:tcBorders>
          </w:tcPr>
          <w:p w14:paraId="2CAC6154" w14:textId="77777777" w:rsidR="00882D86" w:rsidRPr="00E7673C" w:rsidRDefault="00882D86" w:rsidP="00B17E58">
            <w:pPr>
              <w:rPr>
                <w:rFonts w:ascii="Calibri" w:hAnsi="Calibri" w:cs="Calibri"/>
                <w:b/>
                <w:bCs/>
                <w:szCs w:val="23"/>
              </w:rPr>
            </w:pPr>
            <w:r w:rsidRPr="00E7673C">
              <w:rPr>
                <w:rFonts w:ascii="Calibri" w:hAnsi="Calibri" w:cs="Calibri"/>
                <w:b/>
                <w:bCs/>
                <w:szCs w:val="23"/>
              </w:rPr>
              <w:t>Objectives</w:t>
            </w:r>
          </w:p>
        </w:tc>
        <w:tc>
          <w:tcPr>
            <w:tcW w:w="5220" w:type="dxa"/>
            <w:tcBorders>
              <w:top w:val="nil"/>
              <w:left w:val="nil"/>
              <w:bottom w:val="single" w:sz="8" w:space="0" w:color="auto"/>
              <w:right w:val="single" w:sz="8" w:space="0" w:color="auto"/>
            </w:tcBorders>
          </w:tcPr>
          <w:p w14:paraId="6C1E9321" w14:textId="77777777" w:rsidR="00882D86" w:rsidRPr="00E7673C" w:rsidRDefault="00882D86" w:rsidP="00B17E58">
            <w:pPr>
              <w:rPr>
                <w:rFonts w:ascii="Calibri" w:hAnsi="Calibri" w:cs="Calibri"/>
                <w:b/>
                <w:bCs/>
                <w:szCs w:val="23"/>
              </w:rPr>
            </w:pPr>
            <w:r>
              <w:rPr>
                <w:rFonts w:ascii="Calibri" w:hAnsi="Calibri" w:cs="Calibri"/>
                <w:b/>
                <w:bCs/>
                <w:szCs w:val="23"/>
              </w:rPr>
              <w:t>Work Groups</w:t>
            </w:r>
            <w:r w:rsidRPr="00E7673C">
              <w:rPr>
                <w:rFonts w:ascii="Calibri" w:hAnsi="Calibri" w:cs="Calibri"/>
                <w:b/>
                <w:bCs/>
                <w:szCs w:val="23"/>
              </w:rPr>
              <w:t xml:space="preserve"> </w:t>
            </w:r>
            <w:r>
              <w:rPr>
                <w:rFonts w:ascii="Calibri" w:hAnsi="Calibri" w:cs="Calibri"/>
                <w:b/>
                <w:bCs/>
                <w:szCs w:val="23"/>
              </w:rPr>
              <w:t>/Advisory Groups</w:t>
            </w:r>
          </w:p>
        </w:tc>
        <w:tc>
          <w:tcPr>
            <w:tcW w:w="6570" w:type="dxa"/>
            <w:tcBorders>
              <w:top w:val="nil"/>
              <w:left w:val="nil"/>
              <w:bottom w:val="single" w:sz="8" w:space="0" w:color="auto"/>
              <w:right w:val="single" w:sz="8" w:space="0" w:color="auto"/>
            </w:tcBorders>
          </w:tcPr>
          <w:p w14:paraId="6BFF3AFE" w14:textId="77777777" w:rsidR="00882D86" w:rsidRPr="00E7673C" w:rsidRDefault="00882D86" w:rsidP="00B17E58">
            <w:pPr>
              <w:rPr>
                <w:rFonts w:ascii="Calibri" w:hAnsi="Calibri" w:cs="Calibri"/>
                <w:b/>
                <w:bCs/>
                <w:szCs w:val="23"/>
              </w:rPr>
            </w:pPr>
            <w:r>
              <w:rPr>
                <w:rFonts w:ascii="Calibri" w:hAnsi="Calibri" w:cs="Calibri"/>
                <w:b/>
                <w:bCs/>
                <w:szCs w:val="23"/>
              </w:rPr>
              <w:t>Work group activities</w:t>
            </w:r>
          </w:p>
        </w:tc>
      </w:tr>
      <w:tr w:rsidR="00882D86" w:rsidRPr="00B66A0A" w14:paraId="57A5E727"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0DE10F7D" w14:textId="4AAC0A7F" w:rsidR="00882D86" w:rsidRPr="00E7673C" w:rsidRDefault="00882D86" w:rsidP="00882D86">
            <w:pPr>
              <w:ind w:left="-113"/>
              <w:rPr>
                <w:rFonts w:ascii="Calibri" w:hAnsi="Calibri" w:cs="Calibri"/>
                <w:szCs w:val="23"/>
              </w:rPr>
            </w:pPr>
            <w:r w:rsidRPr="00E7673C">
              <w:rPr>
                <w:rFonts w:ascii="Calibri" w:eastAsia="@PMingLiU" w:hAnsi="Calibri" w:cs="Calibri"/>
                <w:szCs w:val="23"/>
              </w:rPr>
              <w:t>1</w:t>
            </w:r>
            <w:r>
              <w:rPr>
                <w:rFonts w:ascii="Calibri" w:eastAsia="@PMingLiU" w:hAnsi="Calibri" w:cs="Calibri"/>
                <w:szCs w:val="23"/>
              </w:rPr>
              <w:t>. Identify new strategies to assess and monitor cancer survivorship</w:t>
            </w:r>
            <w:r w:rsidRPr="00E7673C">
              <w:rPr>
                <w:rFonts w:ascii="Calibri" w:eastAsia="@PMingLiU" w:hAnsi="Calibri" w:cs="Calibri"/>
                <w:szCs w:val="23"/>
              </w:rPr>
              <w:t>.</w:t>
            </w:r>
          </w:p>
        </w:tc>
        <w:tc>
          <w:tcPr>
            <w:tcW w:w="5220" w:type="dxa"/>
            <w:tcBorders>
              <w:top w:val="single" w:sz="8" w:space="0" w:color="auto"/>
              <w:left w:val="nil"/>
              <w:bottom w:val="single" w:sz="8" w:space="0" w:color="auto"/>
              <w:right w:val="single" w:sz="8" w:space="0" w:color="auto"/>
            </w:tcBorders>
          </w:tcPr>
          <w:p w14:paraId="0E1BDFB7" w14:textId="5CA86064" w:rsidR="00882D86" w:rsidRPr="00E7673C" w:rsidRDefault="00485DF4" w:rsidP="00882D86">
            <w:pPr>
              <w:rPr>
                <w:rFonts w:ascii="Calibri" w:eastAsia="@PMingLiU" w:hAnsi="Calibri" w:cs="Calibri"/>
                <w:szCs w:val="23"/>
              </w:rPr>
            </w:pPr>
            <w:r>
              <w:rPr>
                <w:rFonts w:ascii="Calibri" w:eastAsia="@PMingLiU" w:hAnsi="Calibri" w:cs="Calibri"/>
                <w:szCs w:val="23"/>
              </w:rPr>
              <w:t>ON HOLD</w:t>
            </w:r>
            <w:r w:rsidR="00882D86" w:rsidRPr="00E7673C">
              <w:rPr>
                <w:rFonts w:ascii="Calibri" w:eastAsia="@PMingLiU" w:hAnsi="Calibri" w:cs="Calibri"/>
                <w:szCs w:val="23"/>
              </w:rPr>
              <w:br/>
            </w:r>
          </w:p>
        </w:tc>
        <w:tc>
          <w:tcPr>
            <w:tcW w:w="6570" w:type="dxa"/>
            <w:tcBorders>
              <w:top w:val="single" w:sz="8" w:space="0" w:color="auto"/>
              <w:left w:val="nil"/>
              <w:bottom w:val="single" w:sz="8" w:space="0" w:color="auto"/>
              <w:right w:val="single" w:sz="8" w:space="0" w:color="auto"/>
            </w:tcBorders>
          </w:tcPr>
          <w:p w14:paraId="78E08046" w14:textId="508FC5DE" w:rsidR="00882D86" w:rsidRPr="00E7673C" w:rsidRDefault="00882D86" w:rsidP="00A3336B">
            <w:pPr>
              <w:tabs>
                <w:tab w:val="left" w:pos="147"/>
              </w:tabs>
              <w:ind w:left="247"/>
              <w:rPr>
                <w:rFonts w:ascii="Calibri" w:eastAsia="@PMingLiU" w:hAnsi="Calibri" w:cs="Calibri"/>
                <w:szCs w:val="23"/>
              </w:rPr>
            </w:pPr>
          </w:p>
        </w:tc>
      </w:tr>
      <w:tr w:rsidR="00882D86" w:rsidRPr="00B66A0A" w14:paraId="6313E5AA" w14:textId="77777777" w:rsidTr="00B17E58">
        <w:trPr>
          <w:cantSplit/>
        </w:trPr>
        <w:tc>
          <w:tcPr>
            <w:tcW w:w="2880" w:type="dxa"/>
            <w:tcBorders>
              <w:top w:val="single" w:sz="8" w:space="0" w:color="auto"/>
              <w:left w:val="single" w:sz="8" w:space="0" w:color="auto"/>
              <w:bottom w:val="single" w:sz="8" w:space="0" w:color="auto"/>
              <w:right w:val="single" w:sz="8" w:space="0" w:color="auto"/>
            </w:tcBorders>
          </w:tcPr>
          <w:p w14:paraId="504F0B26" w14:textId="77777777" w:rsidR="00882D86" w:rsidRPr="00E7673C" w:rsidRDefault="00882D86" w:rsidP="00882D86">
            <w:pPr>
              <w:ind w:left="-113"/>
              <w:rPr>
                <w:rFonts w:ascii="Calibri" w:hAnsi="Calibri" w:cs="Calibri"/>
                <w:b/>
                <w:bCs/>
                <w:szCs w:val="23"/>
              </w:rPr>
            </w:pPr>
            <w:r w:rsidRPr="00E7673C">
              <w:rPr>
                <w:rFonts w:ascii="Calibri" w:eastAsia="@PMingLiU" w:hAnsi="Calibri" w:cs="Calibri"/>
                <w:szCs w:val="23"/>
              </w:rPr>
              <w:t>2.</w:t>
            </w:r>
            <w:r w:rsidR="00B17E58">
              <w:rPr>
                <w:rFonts w:ascii="Calibri" w:eastAsia="@PMingLiU" w:hAnsi="Calibri" w:cs="Calibri"/>
                <w:szCs w:val="23"/>
              </w:rPr>
              <w:t xml:space="preserve"> Monitor advances in cancer surveillance, control and research to identify potential roles for cancer registries</w:t>
            </w:r>
          </w:p>
        </w:tc>
        <w:tc>
          <w:tcPr>
            <w:tcW w:w="5220" w:type="dxa"/>
            <w:tcBorders>
              <w:top w:val="single" w:sz="8" w:space="0" w:color="auto"/>
              <w:left w:val="nil"/>
              <w:bottom w:val="single" w:sz="8" w:space="0" w:color="auto"/>
              <w:right w:val="single" w:sz="8" w:space="0" w:color="auto"/>
            </w:tcBorders>
          </w:tcPr>
          <w:p w14:paraId="4FB13DB7" w14:textId="05C076E2" w:rsidR="00476C6E" w:rsidRPr="00E7673C" w:rsidRDefault="003C7E0F" w:rsidP="00E9294F">
            <w:pPr>
              <w:ind w:left="-115"/>
              <w:rPr>
                <w:rFonts w:ascii="Calibri" w:eastAsia="@PMingLiU" w:hAnsi="Calibri" w:cs="Calibri"/>
                <w:szCs w:val="23"/>
              </w:rPr>
            </w:pPr>
            <w:r>
              <w:rPr>
                <w:rFonts w:ascii="Calibri" w:eastAsia="@PMingLiU" w:hAnsi="Calibri" w:cs="Calibri"/>
                <w:szCs w:val="23"/>
              </w:rPr>
              <w:t xml:space="preserve"> </w:t>
            </w:r>
            <w:r w:rsidR="00485DF4">
              <w:rPr>
                <w:rFonts w:ascii="Calibri" w:eastAsia="@PMingLiU" w:hAnsi="Calibri" w:cs="Calibri"/>
                <w:szCs w:val="23"/>
              </w:rPr>
              <w:t>ON HOLD</w:t>
            </w:r>
          </w:p>
        </w:tc>
        <w:tc>
          <w:tcPr>
            <w:tcW w:w="6570" w:type="dxa"/>
            <w:tcBorders>
              <w:top w:val="single" w:sz="8" w:space="0" w:color="auto"/>
              <w:left w:val="nil"/>
              <w:bottom w:val="single" w:sz="8" w:space="0" w:color="auto"/>
              <w:right w:val="single" w:sz="8" w:space="0" w:color="auto"/>
            </w:tcBorders>
          </w:tcPr>
          <w:p w14:paraId="5D99746A" w14:textId="77777777" w:rsidR="00882D86" w:rsidRPr="00E7673C" w:rsidRDefault="00882D86" w:rsidP="00882D86">
            <w:pPr>
              <w:tabs>
                <w:tab w:val="left" w:pos="147"/>
              </w:tabs>
              <w:ind w:left="-113"/>
              <w:rPr>
                <w:rFonts w:ascii="Calibri" w:eastAsia="@PMingLiU" w:hAnsi="Calibri" w:cs="Calibri"/>
                <w:szCs w:val="23"/>
              </w:rPr>
            </w:pPr>
          </w:p>
        </w:tc>
      </w:tr>
    </w:tbl>
    <w:p w14:paraId="595EA8C2" w14:textId="77777777" w:rsidR="002F6F50" w:rsidRPr="00BF30DB" w:rsidRDefault="002F6F50" w:rsidP="008E219E"/>
    <w:sectPr w:rsidR="002F6F50" w:rsidRPr="00BF30DB" w:rsidSect="00E7673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977"/>
    <w:multiLevelType w:val="hybridMultilevel"/>
    <w:tmpl w:val="3C5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DA8"/>
    <w:multiLevelType w:val="hybridMultilevel"/>
    <w:tmpl w:val="F48AF44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 w15:restartNumberingAfterBreak="0">
    <w:nsid w:val="12E0483C"/>
    <w:multiLevelType w:val="hybridMultilevel"/>
    <w:tmpl w:val="B86EDC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B541D5F"/>
    <w:multiLevelType w:val="hybridMultilevel"/>
    <w:tmpl w:val="EC28660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4" w15:restartNumberingAfterBreak="0">
    <w:nsid w:val="1F1A5994"/>
    <w:multiLevelType w:val="hybridMultilevel"/>
    <w:tmpl w:val="B75C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46605"/>
    <w:multiLevelType w:val="hybridMultilevel"/>
    <w:tmpl w:val="2A2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40C04"/>
    <w:multiLevelType w:val="hybridMultilevel"/>
    <w:tmpl w:val="E668AD70"/>
    <w:lvl w:ilvl="0" w:tplc="EA10F2E6">
      <w:start w:val="1"/>
      <w:numFmt w:val="decimal"/>
      <w:lvlText w:val="%1."/>
      <w:lvlJc w:val="left"/>
      <w:pPr>
        <w:ind w:left="245" w:hanging="360"/>
      </w:pPr>
      <w:rPr>
        <w:rFonts w:eastAsia="@PMingLiU"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7" w15:restartNumberingAfterBreak="0">
    <w:nsid w:val="2ADB5341"/>
    <w:multiLevelType w:val="hybridMultilevel"/>
    <w:tmpl w:val="5BE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62622"/>
    <w:multiLevelType w:val="hybridMultilevel"/>
    <w:tmpl w:val="1AE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109FC"/>
    <w:multiLevelType w:val="hybridMultilevel"/>
    <w:tmpl w:val="286AE138"/>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0" w15:restartNumberingAfterBreak="0">
    <w:nsid w:val="386000D9"/>
    <w:multiLevelType w:val="hybridMultilevel"/>
    <w:tmpl w:val="7250CC4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1" w15:restartNumberingAfterBreak="0">
    <w:nsid w:val="4D737C39"/>
    <w:multiLevelType w:val="hybridMultilevel"/>
    <w:tmpl w:val="E96E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B03FE"/>
    <w:multiLevelType w:val="hybridMultilevel"/>
    <w:tmpl w:val="5EA2CF30"/>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3" w15:restartNumberingAfterBreak="0">
    <w:nsid w:val="4FD02E77"/>
    <w:multiLevelType w:val="hybridMultilevel"/>
    <w:tmpl w:val="A95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B33C5"/>
    <w:multiLevelType w:val="hybridMultilevel"/>
    <w:tmpl w:val="AF945F84"/>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5" w15:restartNumberingAfterBreak="0">
    <w:nsid w:val="53787701"/>
    <w:multiLevelType w:val="hybridMultilevel"/>
    <w:tmpl w:val="51883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D20844"/>
    <w:multiLevelType w:val="hybridMultilevel"/>
    <w:tmpl w:val="99CEF0A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E622C25"/>
    <w:multiLevelType w:val="hybridMultilevel"/>
    <w:tmpl w:val="8FB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C429D"/>
    <w:multiLevelType w:val="hybridMultilevel"/>
    <w:tmpl w:val="93909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03556F"/>
    <w:multiLevelType w:val="hybridMultilevel"/>
    <w:tmpl w:val="4BE2975E"/>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num w:numId="1">
    <w:abstractNumId w:val="2"/>
  </w:num>
  <w:num w:numId="2">
    <w:abstractNumId w:val="16"/>
  </w:num>
  <w:num w:numId="3">
    <w:abstractNumId w:val="5"/>
  </w:num>
  <w:num w:numId="4">
    <w:abstractNumId w:val="8"/>
  </w:num>
  <w:num w:numId="5">
    <w:abstractNumId w:val="18"/>
  </w:num>
  <w:num w:numId="6">
    <w:abstractNumId w:val="13"/>
  </w:num>
  <w:num w:numId="7">
    <w:abstractNumId w:val="7"/>
  </w:num>
  <w:num w:numId="8">
    <w:abstractNumId w:val="4"/>
  </w:num>
  <w:num w:numId="9">
    <w:abstractNumId w:val="11"/>
  </w:num>
  <w:num w:numId="10">
    <w:abstractNumId w:val="9"/>
  </w:num>
  <w:num w:numId="11">
    <w:abstractNumId w:val="6"/>
  </w:num>
  <w:num w:numId="12">
    <w:abstractNumId w:val="14"/>
  </w:num>
  <w:num w:numId="13">
    <w:abstractNumId w:val="0"/>
  </w:num>
  <w:num w:numId="14">
    <w:abstractNumId w:val="17"/>
  </w:num>
  <w:num w:numId="15">
    <w:abstractNumId w:val="19"/>
  </w:num>
  <w:num w:numId="16">
    <w:abstractNumId w:val="1"/>
  </w:num>
  <w:num w:numId="17">
    <w:abstractNumId w:val="3"/>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B9"/>
    <w:rsid w:val="00000779"/>
    <w:rsid w:val="000575AD"/>
    <w:rsid w:val="00080ABE"/>
    <w:rsid w:val="00093D6A"/>
    <w:rsid w:val="000D40C2"/>
    <w:rsid w:val="0013037E"/>
    <w:rsid w:val="00142B77"/>
    <w:rsid w:val="00185E3A"/>
    <w:rsid w:val="00191CA1"/>
    <w:rsid w:val="00192111"/>
    <w:rsid w:val="00196EDA"/>
    <w:rsid w:val="001A2B1D"/>
    <w:rsid w:val="001C1126"/>
    <w:rsid w:val="001C4F23"/>
    <w:rsid w:val="00215374"/>
    <w:rsid w:val="00265234"/>
    <w:rsid w:val="00273D77"/>
    <w:rsid w:val="002C2CAC"/>
    <w:rsid w:val="002C5E9F"/>
    <w:rsid w:val="002E2607"/>
    <w:rsid w:val="002F6F50"/>
    <w:rsid w:val="00300731"/>
    <w:rsid w:val="0038249C"/>
    <w:rsid w:val="003C7E0F"/>
    <w:rsid w:val="003D4FFE"/>
    <w:rsid w:val="003E5CD1"/>
    <w:rsid w:val="003F08B6"/>
    <w:rsid w:val="00412F21"/>
    <w:rsid w:val="00430A14"/>
    <w:rsid w:val="00430C81"/>
    <w:rsid w:val="00446EED"/>
    <w:rsid w:val="004753B0"/>
    <w:rsid w:val="00476C6E"/>
    <w:rsid w:val="00485DF4"/>
    <w:rsid w:val="00487276"/>
    <w:rsid w:val="004909AF"/>
    <w:rsid w:val="004B50BC"/>
    <w:rsid w:val="004B65BF"/>
    <w:rsid w:val="004F49C6"/>
    <w:rsid w:val="00500B75"/>
    <w:rsid w:val="00510ED5"/>
    <w:rsid w:val="00525875"/>
    <w:rsid w:val="00543270"/>
    <w:rsid w:val="00552307"/>
    <w:rsid w:val="005B77C0"/>
    <w:rsid w:val="005F3BF2"/>
    <w:rsid w:val="006061F6"/>
    <w:rsid w:val="0062724A"/>
    <w:rsid w:val="0066042B"/>
    <w:rsid w:val="00695F52"/>
    <w:rsid w:val="00697F6C"/>
    <w:rsid w:val="006C5EE7"/>
    <w:rsid w:val="006E76A2"/>
    <w:rsid w:val="00703438"/>
    <w:rsid w:val="00746EAD"/>
    <w:rsid w:val="00755D5A"/>
    <w:rsid w:val="007632F6"/>
    <w:rsid w:val="00785C20"/>
    <w:rsid w:val="0079380D"/>
    <w:rsid w:val="007A04A6"/>
    <w:rsid w:val="007B0B50"/>
    <w:rsid w:val="00802AB9"/>
    <w:rsid w:val="00802BEA"/>
    <w:rsid w:val="00832EE4"/>
    <w:rsid w:val="0083425E"/>
    <w:rsid w:val="00835F5B"/>
    <w:rsid w:val="00843EA5"/>
    <w:rsid w:val="00870E80"/>
    <w:rsid w:val="008718E5"/>
    <w:rsid w:val="00874BC1"/>
    <w:rsid w:val="00882D86"/>
    <w:rsid w:val="00883ABA"/>
    <w:rsid w:val="008C6B82"/>
    <w:rsid w:val="008E219E"/>
    <w:rsid w:val="008E4881"/>
    <w:rsid w:val="008E572C"/>
    <w:rsid w:val="008F11DE"/>
    <w:rsid w:val="0090477D"/>
    <w:rsid w:val="0091118E"/>
    <w:rsid w:val="009212EA"/>
    <w:rsid w:val="009269F4"/>
    <w:rsid w:val="009A649A"/>
    <w:rsid w:val="009A7C30"/>
    <w:rsid w:val="00A3336B"/>
    <w:rsid w:val="00A35E2E"/>
    <w:rsid w:val="00A37458"/>
    <w:rsid w:val="00A4722D"/>
    <w:rsid w:val="00A517CA"/>
    <w:rsid w:val="00A5480B"/>
    <w:rsid w:val="00A75346"/>
    <w:rsid w:val="00AC15E4"/>
    <w:rsid w:val="00AD3B85"/>
    <w:rsid w:val="00B17E58"/>
    <w:rsid w:val="00B21E99"/>
    <w:rsid w:val="00B22CAC"/>
    <w:rsid w:val="00B578B1"/>
    <w:rsid w:val="00B75345"/>
    <w:rsid w:val="00BA4D7F"/>
    <w:rsid w:val="00BA6F98"/>
    <w:rsid w:val="00BD029B"/>
    <w:rsid w:val="00BE49C0"/>
    <w:rsid w:val="00BF30DB"/>
    <w:rsid w:val="00C11670"/>
    <w:rsid w:val="00C12AAA"/>
    <w:rsid w:val="00C56CD1"/>
    <w:rsid w:val="00C62EF2"/>
    <w:rsid w:val="00CD3130"/>
    <w:rsid w:val="00D255DF"/>
    <w:rsid w:val="00D277FB"/>
    <w:rsid w:val="00D44E1C"/>
    <w:rsid w:val="00D57436"/>
    <w:rsid w:val="00D759DC"/>
    <w:rsid w:val="00DC5CB3"/>
    <w:rsid w:val="00DE03DF"/>
    <w:rsid w:val="00DF31F7"/>
    <w:rsid w:val="00E415A5"/>
    <w:rsid w:val="00E546FE"/>
    <w:rsid w:val="00E63690"/>
    <w:rsid w:val="00E74FA0"/>
    <w:rsid w:val="00E7673C"/>
    <w:rsid w:val="00E8222D"/>
    <w:rsid w:val="00E9294F"/>
    <w:rsid w:val="00E95BA6"/>
    <w:rsid w:val="00EA3794"/>
    <w:rsid w:val="00EB334E"/>
    <w:rsid w:val="00EE51AB"/>
    <w:rsid w:val="00EF6016"/>
    <w:rsid w:val="00F66B8A"/>
    <w:rsid w:val="00F80455"/>
    <w:rsid w:val="00F943EC"/>
    <w:rsid w:val="00FC0F36"/>
    <w:rsid w:val="00FD21F9"/>
    <w:rsid w:val="00FE41DB"/>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F9661"/>
  <w15:docId w15:val="{266374C1-A51F-4D79-8869-B143BFF0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472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255D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E415A5"/>
    <w:rPr>
      <w:rFonts w:ascii="Tahoma" w:hAnsi="Tahoma"/>
      <w:sz w:val="16"/>
      <w:szCs w:val="16"/>
      <w:lang w:val="x-none" w:eastAsia="x-none"/>
    </w:rPr>
  </w:style>
  <w:style w:type="character" w:customStyle="1" w:styleId="DocumentMapChar">
    <w:name w:val="Document Map Char"/>
    <w:link w:val="DocumentMap"/>
    <w:rsid w:val="00E415A5"/>
    <w:rPr>
      <w:rFonts w:ascii="Tahoma" w:hAnsi="Tahoma" w:cs="Tahoma"/>
      <w:sz w:val="16"/>
      <w:szCs w:val="16"/>
    </w:rPr>
  </w:style>
  <w:style w:type="paragraph" w:styleId="ListParagraph">
    <w:name w:val="List Paragraph"/>
    <w:basedOn w:val="Normal"/>
    <w:uiPriority w:val="99"/>
    <w:qFormat/>
    <w:rsid w:val="00430C81"/>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3D4FFE"/>
    <w:rPr>
      <w:sz w:val="16"/>
      <w:szCs w:val="16"/>
    </w:rPr>
  </w:style>
  <w:style w:type="paragraph" w:styleId="CommentText">
    <w:name w:val="annotation text"/>
    <w:basedOn w:val="Normal"/>
    <w:link w:val="CommentTextChar"/>
    <w:uiPriority w:val="99"/>
    <w:rsid w:val="003D4FFE"/>
    <w:rPr>
      <w:sz w:val="20"/>
      <w:szCs w:val="20"/>
    </w:rPr>
  </w:style>
  <w:style w:type="character" w:customStyle="1" w:styleId="CommentTextChar">
    <w:name w:val="Comment Text Char"/>
    <w:basedOn w:val="DefaultParagraphFont"/>
    <w:link w:val="CommentText"/>
    <w:uiPriority w:val="99"/>
    <w:rsid w:val="003D4FFE"/>
  </w:style>
  <w:style w:type="paragraph" w:styleId="CommentSubject">
    <w:name w:val="annotation subject"/>
    <w:basedOn w:val="CommentText"/>
    <w:next w:val="CommentText"/>
    <w:link w:val="CommentSubjectChar"/>
    <w:rsid w:val="003D4FFE"/>
    <w:rPr>
      <w:b/>
      <w:bCs/>
      <w:lang w:val="x-none" w:eastAsia="x-none"/>
    </w:rPr>
  </w:style>
  <w:style w:type="character" w:customStyle="1" w:styleId="CommentSubjectChar">
    <w:name w:val="Comment Subject Char"/>
    <w:link w:val="CommentSubject"/>
    <w:rsid w:val="003D4FFE"/>
    <w:rPr>
      <w:b/>
      <w:bCs/>
    </w:rPr>
  </w:style>
  <w:style w:type="paragraph" w:styleId="BalloonText">
    <w:name w:val="Balloon Text"/>
    <w:basedOn w:val="Normal"/>
    <w:link w:val="BalloonTextChar"/>
    <w:rsid w:val="003D4FFE"/>
    <w:rPr>
      <w:rFonts w:ascii="Tahoma" w:hAnsi="Tahoma"/>
      <w:sz w:val="16"/>
      <w:szCs w:val="16"/>
      <w:lang w:val="x-none" w:eastAsia="x-none"/>
    </w:rPr>
  </w:style>
  <w:style w:type="character" w:customStyle="1" w:styleId="BalloonTextChar">
    <w:name w:val="Balloon Text Char"/>
    <w:link w:val="BalloonText"/>
    <w:rsid w:val="003D4FFE"/>
    <w:rPr>
      <w:rFonts w:ascii="Tahoma" w:hAnsi="Tahoma" w:cs="Tahoma"/>
      <w:sz w:val="16"/>
      <w:szCs w:val="16"/>
    </w:rPr>
  </w:style>
  <w:style w:type="character" w:customStyle="1" w:styleId="Heading2Char">
    <w:name w:val="Heading 2 Char"/>
    <w:link w:val="Heading2"/>
    <w:semiHidden/>
    <w:rsid w:val="00A4722D"/>
    <w:rPr>
      <w:rFonts w:ascii="Cambria" w:eastAsia="Times New Roman" w:hAnsi="Cambria" w:cs="Times New Roman"/>
      <w:b/>
      <w:bCs/>
      <w:i/>
      <w:iCs/>
      <w:sz w:val="28"/>
      <w:szCs w:val="28"/>
    </w:rPr>
  </w:style>
  <w:style w:type="character" w:customStyle="1" w:styleId="Heading3Char">
    <w:name w:val="Heading 3 Char"/>
    <w:link w:val="Heading3"/>
    <w:semiHidden/>
    <w:rsid w:val="00D255DF"/>
    <w:rPr>
      <w:rFonts w:ascii="Cambria" w:eastAsia="Times New Roman" w:hAnsi="Cambria" w:cs="Times New Roman"/>
      <w:b/>
      <w:bCs/>
      <w:sz w:val="26"/>
      <w:szCs w:val="26"/>
    </w:rPr>
  </w:style>
  <w:style w:type="paragraph" w:customStyle="1" w:styleId="Default">
    <w:name w:val="Default"/>
    <w:rsid w:val="009212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B6B4-CAD2-48DD-A4A4-6BFADB1E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April 2, 2012 – Draft Terms of Reference</vt:lpstr>
    </vt:vector>
  </TitlesOfParts>
  <Company>Capital District Health Authority</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 2012 – Draft Terms of Reference</dc:title>
  <dc:creator>Administrator</dc:creator>
  <cp:lastModifiedBy>NAACCR</cp:lastModifiedBy>
  <cp:revision>4</cp:revision>
  <dcterms:created xsi:type="dcterms:W3CDTF">2019-08-09T14:55:00Z</dcterms:created>
  <dcterms:modified xsi:type="dcterms:W3CDTF">2019-10-28T14:18:00Z</dcterms:modified>
</cp:coreProperties>
</file>